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36" w:rsidRPr="001D544F" w:rsidRDefault="005F6136" w:rsidP="005F6136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491947517"/>
      <w:bookmarkStart w:id="1" w:name="_Toc511385307"/>
      <w:r>
        <w:rPr>
          <w:lang w:val="el-GR"/>
        </w:rPr>
        <w:t xml:space="preserve">ΠΑΡΑΡΤΗΜΑ </w:t>
      </w:r>
      <w:r>
        <w:rPr>
          <w:lang w:val="en-US"/>
        </w:rPr>
        <w:t>III</w:t>
      </w:r>
      <w:r>
        <w:rPr>
          <w:lang w:val="el-GR"/>
        </w:rPr>
        <w:t xml:space="preserve"> – Υπόδειγμα Φύλλου Συμμόρφωσης Τεχνικής Προσφοράς</w:t>
      </w:r>
      <w:bookmarkEnd w:id="0"/>
      <w:bookmarkEnd w:id="1"/>
      <w:r>
        <w:rPr>
          <w:lang w:val="el-GR"/>
        </w:rPr>
        <w:t xml:space="preserve"> </w:t>
      </w:r>
    </w:p>
    <w:p w:rsidR="005F6136" w:rsidRPr="00B37D0E" w:rsidRDefault="005F6136" w:rsidP="005F6136">
      <w:pPr>
        <w:jc w:val="center"/>
        <w:rPr>
          <w:b/>
          <w:bCs/>
          <w:szCs w:val="22"/>
          <w:lang w:val="el-GR"/>
        </w:rPr>
      </w:pPr>
      <w:r>
        <w:rPr>
          <w:b/>
          <w:bCs/>
          <w:szCs w:val="22"/>
          <w:lang w:val="el-GR"/>
        </w:rPr>
        <w:t>ΦΥΛΛΟ  ΣΥΜΜΟΡΦΩΣΗΣ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b/>
          <w:color w:val="auto"/>
          <w:sz w:val="22"/>
          <w:szCs w:val="22"/>
          <w:u w:val="single"/>
        </w:rPr>
      </w:pPr>
      <w:bookmarkStart w:id="2" w:name="_Toc87159820"/>
      <w:bookmarkStart w:id="3" w:name="_Toc87161544"/>
      <w:bookmarkStart w:id="4" w:name="_Toc87170416"/>
      <w:bookmarkStart w:id="5" w:name="_Toc87171176"/>
      <w:bookmarkStart w:id="6" w:name="_Toc87433167"/>
      <w:bookmarkStart w:id="7" w:name="_Toc87936301"/>
      <w:bookmarkStart w:id="8" w:name="_Toc87937412"/>
      <w:bookmarkStart w:id="9" w:name="_Toc88039865"/>
      <w:bookmarkStart w:id="10" w:name="_Toc88040584"/>
      <w:bookmarkStart w:id="11" w:name="_Toc87159821"/>
      <w:bookmarkStart w:id="12" w:name="_Toc87161545"/>
      <w:bookmarkStart w:id="13" w:name="_Toc87170417"/>
      <w:bookmarkStart w:id="14" w:name="_Toc87171177"/>
      <w:bookmarkStart w:id="15" w:name="_Toc87433168"/>
      <w:bookmarkStart w:id="16" w:name="_Toc87936302"/>
      <w:bookmarkStart w:id="17" w:name="_Toc87937413"/>
      <w:bookmarkStart w:id="18" w:name="_Toc88039866"/>
      <w:bookmarkStart w:id="19" w:name="_Toc88040585"/>
      <w:bookmarkStart w:id="20" w:name="_Toc87159843"/>
      <w:bookmarkStart w:id="21" w:name="_Toc87161567"/>
      <w:bookmarkStart w:id="22" w:name="_Toc87170439"/>
      <w:bookmarkStart w:id="23" w:name="_Toc87171199"/>
      <w:bookmarkStart w:id="24" w:name="_Toc87433190"/>
      <w:bookmarkStart w:id="25" w:name="_Toc87936324"/>
      <w:bookmarkStart w:id="26" w:name="_Toc87937435"/>
      <w:bookmarkStart w:id="27" w:name="_Toc88039888"/>
      <w:bookmarkStart w:id="28" w:name="_Toc88040607"/>
      <w:bookmarkStart w:id="29" w:name="_Toc87159866"/>
      <w:bookmarkStart w:id="30" w:name="_Toc87161590"/>
      <w:bookmarkStart w:id="31" w:name="_Toc87170462"/>
      <w:bookmarkStart w:id="32" w:name="_Toc87171222"/>
      <w:bookmarkStart w:id="33" w:name="_Toc87433213"/>
      <w:bookmarkStart w:id="34" w:name="_Toc87936347"/>
      <w:bookmarkStart w:id="35" w:name="_Toc87937458"/>
      <w:bookmarkStart w:id="36" w:name="_Toc88039911"/>
      <w:bookmarkStart w:id="37" w:name="_Toc88040630"/>
      <w:bookmarkStart w:id="38" w:name="_Toc87159873"/>
      <w:bookmarkStart w:id="39" w:name="_Toc87161597"/>
      <w:bookmarkStart w:id="40" w:name="_Toc87170469"/>
      <w:bookmarkStart w:id="41" w:name="_Toc87171229"/>
      <w:bookmarkStart w:id="42" w:name="_Toc87433220"/>
      <w:bookmarkStart w:id="43" w:name="_Toc87936354"/>
      <w:bookmarkStart w:id="44" w:name="_Toc87937465"/>
      <w:bookmarkStart w:id="45" w:name="_Toc88039918"/>
      <w:bookmarkStart w:id="46" w:name="_Toc8804063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B37D0E">
        <w:rPr>
          <w:rFonts w:ascii="Calibri" w:hAnsi="Calibri" w:cs="Calibri"/>
          <w:b/>
          <w:color w:val="auto"/>
          <w:sz w:val="22"/>
          <w:szCs w:val="22"/>
          <w:u w:val="single"/>
        </w:rPr>
        <w:t xml:space="preserve">ΟΔΗΓΙΕΣ ΣΥΜΠΛΗΡΩΣΗΣ ΦΥΛΛΟΥ ΣΥΜΜΟΡΦΩΣΗΣ 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  <w:u w:val="single"/>
        </w:rPr>
      </w:pP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>Επί ποινή αποκλεισμού: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37D0E">
        <w:rPr>
          <w:rFonts w:ascii="Calibri" w:hAnsi="Calibri" w:cs="Calibri"/>
          <w:color w:val="auto"/>
          <w:sz w:val="22"/>
          <w:szCs w:val="22"/>
        </w:rPr>
        <w:t xml:space="preserve">να δηλώνεται ρητά η συμμόρφωση ή απόκλιση από τις ζητούμενες τεχνικές προδιαγραφές και ειδικούς όρους, τηρώντας την ίδια σειρά και αρίθμηση </w:t>
      </w: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 xml:space="preserve">του Παραρτήματος </w:t>
      </w:r>
      <w:r>
        <w:rPr>
          <w:rFonts w:ascii="Calibri" w:hAnsi="Calibri" w:cs="Calibri"/>
          <w:color w:val="auto"/>
          <w:sz w:val="22"/>
          <w:szCs w:val="22"/>
          <w:u w:val="single"/>
        </w:rPr>
        <w:t>Ι</w:t>
      </w: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 xml:space="preserve">. </w:t>
      </w:r>
      <w:r w:rsidRPr="00B37D0E">
        <w:rPr>
          <w:rFonts w:ascii="Calibri" w:hAnsi="Calibri" w:cs="Calibri"/>
          <w:color w:val="auto"/>
          <w:sz w:val="22"/>
          <w:szCs w:val="22"/>
        </w:rPr>
        <w:t xml:space="preserve">Τονίζεται ότι είναι </w:t>
      </w: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>υποχρεωτική</w:t>
      </w:r>
      <w:r w:rsidRPr="00B37D0E">
        <w:rPr>
          <w:rFonts w:ascii="Calibri" w:hAnsi="Calibri" w:cs="Calibri"/>
          <w:color w:val="auto"/>
          <w:sz w:val="22"/>
          <w:szCs w:val="22"/>
        </w:rPr>
        <w:t xml:space="preserve"> η απάντηση σε όλα τα σημεία του ΠΙΝΑΚΑ ΣΥΜΜΟΡΦΩΣΗΣ και η παροχή όλων των πληροφοριών που ζητούνται. 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  <w:u w:val="single"/>
        </w:rPr>
      </w:pP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37D0E">
        <w:rPr>
          <w:rFonts w:ascii="Calibri" w:hAnsi="Calibri" w:cs="Calibri"/>
          <w:color w:val="auto"/>
          <w:sz w:val="22"/>
          <w:szCs w:val="22"/>
        </w:rPr>
        <w:t>Στη Στήλη «</w:t>
      </w: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>ΤΕΧΝΙΚΗ ΠΡΟΔΙΑΓΡΑΦΗ</w:t>
      </w:r>
      <w:r w:rsidRPr="00B37D0E">
        <w:rPr>
          <w:rFonts w:ascii="Calibri" w:hAnsi="Calibri" w:cs="Calibri"/>
          <w:color w:val="auto"/>
          <w:sz w:val="22"/>
          <w:szCs w:val="22"/>
        </w:rPr>
        <w:t xml:space="preserve">» περιγράφονται αναλυτικά οι αντίστοιχοι τεχνικοί όροι, υποχρεώσεις ή επεξηγήσεις για τα οποία θα πρέπει να δοθούν αντίστοιχες απαντήσεις. Προσφορές που δεν καλύπτουν πλήρως τις τεχνικές προδιαγραφές απορρίπτονται ως απαράδεκτες. 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  <w:highlight w:val="yellow"/>
        </w:rPr>
      </w:pPr>
      <w:r w:rsidRPr="00B37D0E">
        <w:rPr>
          <w:rFonts w:ascii="Calibri" w:hAnsi="Calibri" w:cs="Calibri"/>
          <w:color w:val="auto"/>
          <w:sz w:val="22"/>
          <w:szCs w:val="22"/>
        </w:rPr>
        <w:t>Στη στήλη «</w:t>
      </w: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>ΑΠΑΝΤΗΣΗ- ΤΕΚΜΗΡΙΩΣΗ</w:t>
      </w:r>
      <w:r w:rsidRPr="00B37D0E">
        <w:rPr>
          <w:rFonts w:ascii="Calibri" w:hAnsi="Calibri" w:cs="Calibri"/>
          <w:color w:val="auto"/>
          <w:sz w:val="22"/>
          <w:szCs w:val="22"/>
        </w:rPr>
        <w:t xml:space="preserve">» σημειώνεται η απάντηση του Προμηθευτή που έχει τη μορφή ΝΑΙ/ΟΧΙ εάν η αντίστοιχη προδιαγραφή πληρούται ή όχι από την Προσφορά </w:t>
      </w:r>
      <w:r w:rsidRPr="00B37D0E">
        <w:rPr>
          <w:rFonts w:ascii="Calibri" w:hAnsi="Calibri" w:cs="Calibri"/>
          <w:b/>
          <w:color w:val="auto"/>
          <w:sz w:val="22"/>
          <w:szCs w:val="22"/>
        </w:rPr>
        <w:t>και αναλυτική περιγραφή.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37D0E">
        <w:rPr>
          <w:rFonts w:ascii="Calibri" w:hAnsi="Calibri" w:cs="Calibri"/>
          <w:color w:val="auto"/>
          <w:sz w:val="22"/>
          <w:szCs w:val="22"/>
        </w:rPr>
        <w:t xml:space="preserve">Σε περίπτωση που δεν έχει συμπληρωθεί η στήλη «ΑΠΑΝΤΗΣΗ-ΤΕΚΜΗΡΙΩΣΗ», για έστω και έναν από τους όρους στον πίνακα συμμόρφωσης, τότε θεωρείται ότι δεν υπάρχει απάντηση στον σχετικό όρο. 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  <w:highlight w:val="yellow"/>
        </w:rPr>
      </w:pPr>
      <w:r w:rsidRPr="00B37D0E">
        <w:rPr>
          <w:rFonts w:ascii="Calibri" w:hAnsi="Calibri" w:cs="Calibri"/>
          <w:color w:val="auto"/>
          <w:sz w:val="22"/>
          <w:szCs w:val="22"/>
        </w:rPr>
        <w:t>Στη στήλη «</w:t>
      </w:r>
      <w:r w:rsidRPr="00B37D0E">
        <w:rPr>
          <w:rFonts w:ascii="Calibri" w:hAnsi="Calibri" w:cs="Calibri"/>
          <w:color w:val="auto"/>
          <w:sz w:val="22"/>
          <w:szCs w:val="22"/>
          <w:u w:val="single"/>
        </w:rPr>
        <w:t>ΠΑΡΑΠΟΜΠΗ</w:t>
      </w:r>
      <w:r w:rsidRPr="00B37D0E">
        <w:rPr>
          <w:rFonts w:ascii="Calibri" w:hAnsi="Calibri" w:cs="Calibri"/>
          <w:color w:val="auto"/>
          <w:sz w:val="22"/>
          <w:szCs w:val="22"/>
        </w:rPr>
        <w:t xml:space="preserve">» θα καταγραφεί η σαφής παραπομπή σε Παράρτημα της Τεχνικής Προσφοράς το οποίο θα περιλαμβάνει αριθμημένα Τεχνικά Φυλλάδια , ή αναλυτικές τεχνικές περιγραφές των ειδών, του εξοπλισμού ή του τρόπου διασύνδεσης και λειτουργίας ή αναφορές μεθοδολογίας εγκατάστασης και υποστήριξης κλπ., ή έγγραφες βεβαιώσεις που κατά την κρίση του υποψηφίου Προμηθευτή τεκμηριώνουν τα στοιχεία των Πινάκων Συμμόρφωσης. Προσφορές οι οποίες θα απαντούν μονολεκτικά (π.χ. ΝΑΙ ή ΣΥΜΦΩΝΟΥΜΕ </w:t>
      </w:r>
      <w:proofErr w:type="spellStart"/>
      <w:r w:rsidRPr="00B37D0E">
        <w:rPr>
          <w:rFonts w:ascii="Calibri" w:hAnsi="Calibri" w:cs="Calibri"/>
          <w:color w:val="auto"/>
          <w:sz w:val="22"/>
          <w:szCs w:val="22"/>
        </w:rPr>
        <w:t>κ.λ.π</w:t>
      </w:r>
      <w:proofErr w:type="spellEnd"/>
      <w:r w:rsidRPr="00B37D0E">
        <w:rPr>
          <w:rFonts w:ascii="Calibri" w:hAnsi="Calibri" w:cs="Calibri"/>
          <w:color w:val="auto"/>
          <w:sz w:val="22"/>
          <w:szCs w:val="22"/>
        </w:rPr>
        <w:t>.), με  απλή κατάφαση ή επεξήγηση δηλαδή, χωρίς τεκμηρίωση και παραπομπές δεν αποτελεί απόδειξη πλήρωσης της προδιαγραφής και η αρμόδια Επιτροπή έχει το δικαίωμα ελέγχου και επιβεβαίωσης της πλήρωσης της απαίτησης ή της απόρριψής της ως απαράδεκτης με την αιτιολογία της μη πλήρωσης των όρων της διακήρυξης όπως αυτοί περιγράφονται παραπάνω.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37D0E">
        <w:rPr>
          <w:rFonts w:ascii="Calibri" w:hAnsi="Calibri" w:cs="Calibri"/>
          <w:color w:val="auto"/>
          <w:sz w:val="22"/>
          <w:szCs w:val="22"/>
        </w:rPr>
        <w:t xml:space="preserve">Συγκεκριμένα,  στο φύλλο συμμόρφωσης, που αφορά στις  τεχνικές  προδιαγραφές, οι  παραπομπές  θα πρέπει να γίνονται στα επίσημα </w:t>
      </w:r>
      <w:proofErr w:type="spellStart"/>
      <w:r w:rsidRPr="00B37D0E">
        <w:rPr>
          <w:rFonts w:ascii="Calibri" w:hAnsi="Calibri" w:cs="Calibri"/>
          <w:color w:val="auto"/>
          <w:sz w:val="22"/>
          <w:szCs w:val="22"/>
        </w:rPr>
        <w:t>prospectus</w:t>
      </w:r>
      <w:proofErr w:type="spellEnd"/>
      <w:r w:rsidRPr="00B37D0E">
        <w:rPr>
          <w:rFonts w:ascii="Calibri" w:hAnsi="Calibri" w:cs="Calibri"/>
          <w:color w:val="auto"/>
          <w:sz w:val="22"/>
          <w:szCs w:val="22"/>
        </w:rPr>
        <w:t xml:space="preserve"> του κατασκευαστικού οίκου ή σε επίσημες βεβαιώσεις του κατασκευαστικού οίκου, για </w:t>
      </w:r>
      <w:proofErr w:type="spellStart"/>
      <w:r w:rsidRPr="00B37D0E">
        <w:rPr>
          <w:rFonts w:ascii="Calibri" w:hAnsi="Calibri" w:cs="Calibri"/>
          <w:color w:val="auto"/>
          <w:sz w:val="22"/>
          <w:szCs w:val="22"/>
        </w:rPr>
        <w:t>ό,τι</w:t>
      </w:r>
      <w:proofErr w:type="spellEnd"/>
      <w:r w:rsidRPr="00B37D0E">
        <w:rPr>
          <w:rFonts w:ascii="Calibri" w:hAnsi="Calibri" w:cs="Calibri"/>
          <w:color w:val="auto"/>
          <w:sz w:val="22"/>
          <w:szCs w:val="22"/>
        </w:rPr>
        <w:t xml:space="preserve"> δεν αναγράφεται στα </w:t>
      </w:r>
      <w:proofErr w:type="spellStart"/>
      <w:r w:rsidRPr="00B37D0E">
        <w:rPr>
          <w:rFonts w:ascii="Calibri" w:hAnsi="Calibri" w:cs="Calibri"/>
          <w:color w:val="auto"/>
          <w:sz w:val="22"/>
          <w:szCs w:val="22"/>
        </w:rPr>
        <w:t>prospectus</w:t>
      </w:r>
      <w:proofErr w:type="spellEnd"/>
      <w:r w:rsidRPr="00B37D0E">
        <w:rPr>
          <w:rFonts w:ascii="Calibri" w:hAnsi="Calibri" w:cs="Calibri"/>
          <w:color w:val="auto"/>
          <w:sz w:val="22"/>
          <w:szCs w:val="22"/>
        </w:rPr>
        <w:t>.</w:t>
      </w:r>
    </w:p>
    <w:p w:rsidR="005F6136" w:rsidRPr="00B37D0E" w:rsidRDefault="005F6136" w:rsidP="005F613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F6136" w:rsidRPr="009D1965" w:rsidRDefault="005F6136" w:rsidP="005F6136">
      <w:pPr>
        <w:pStyle w:val="3"/>
        <w:tabs>
          <w:tab w:val="left" w:pos="426"/>
        </w:tabs>
        <w:rPr>
          <w:szCs w:val="22"/>
          <w:lang w:val="el-GR"/>
        </w:rPr>
      </w:pPr>
      <w:r w:rsidRPr="009D1965">
        <w:rPr>
          <w:i/>
          <w:sz w:val="22"/>
          <w:szCs w:val="22"/>
          <w:lang w:val="el-GR"/>
        </w:rPr>
        <w:t xml:space="preserve">Προσφορές οι οποίες θα αντιγράφουν τις τεχνικές προδιαγραφές και ειδικούς όρους της διακήρυξης χωρίς τεκμηρίωση και πλήρη παραπομπή – αντιστοιχία, μεταξύ κειμένου ανά παράγραφο και </w:t>
      </w:r>
      <w:r w:rsidRPr="00B37D0E">
        <w:rPr>
          <w:i/>
          <w:sz w:val="22"/>
          <w:szCs w:val="22"/>
        </w:rPr>
        <w:t>prospectus</w:t>
      </w:r>
      <w:r w:rsidRPr="009D1965">
        <w:rPr>
          <w:i/>
          <w:sz w:val="22"/>
          <w:szCs w:val="22"/>
          <w:lang w:val="el-GR"/>
        </w:rPr>
        <w:t xml:space="preserve"> θα αποκλείονται.</w:t>
      </w:r>
    </w:p>
    <w:p w:rsidR="005F6136" w:rsidRPr="00B37D0E" w:rsidRDefault="005F6136" w:rsidP="005F6136">
      <w:pPr>
        <w:jc w:val="center"/>
        <w:rPr>
          <w:bCs/>
          <w:szCs w:val="22"/>
          <w:lang w:val="el-GR"/>
        </w:rPr>
      </w:pPr>
      <w:r w:rsidRPr="00B37D0E">
        <w:rPr>
          <w:bCs/>
          <w:szCs w:val="22"/>
          <w:lang w:val="el-GR"/>
        </w:rPr>
        <w:t>ΠΙΝΑΚΑΣ Σ1 :  ΦΥΛΛΟ ΣΥΜΜΟΡΦΩΣΗΣ ΤΕΧΝΙΚΩΝ ΠΡΟΔΙΑΓΡΑΦΩΝ</w:t>
      </w:r>
    </w:p>
    <w:tbl>
      <w:tblPr>
        <w:tblW w:w="10244" w:type="dxa"/>
        <w:jc w:val="center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5913"/>
        <w:gridCol w:w="2280"/>
        <w:gridCol w:w="1200"/>
      </w:tblGrid>
      <w:tr w:rsidR="005F6136" w:rsidRPr="00B37D0E" w:rsidTr="003E7EE8">
        <w:trPr>
          <w:trHeight w:hRule="exact" w:val="726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Α/Α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ind w:right="874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ΤΕΧΝΙΚΗ ΠΡΟΔΙΑΓΡΑΦΗ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ΑΠΑΝΤΗΣΗ-ΤΕΚΜΗΡΙΩΣΗ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80" w:right="-40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ΠΑΡΑΠΟΜΠΗ</w:t>
            </w:r>
          </w:p>
        </w:tc>
      </w:tr>
      <w:tr w:rsidR="005F6136" w:rsidRPr="00B37D0E" w:rsidTr="003E7EE8">
        <w:trPr>
          <w:trHeight w:hRule="exact" w:val="163"/>
          <w:jc w:val="center"/>
        </w:trPr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59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</w:tr>
      <w:tr w:rsidR="005F6136" w:rsidRPr="00B37D0E" w:rsidTr="003E7EE8">
        <w:trPr>
          <w:trHeight w:hRule="exact" w:val="159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</w:tr>
    </w:tbl>
    <w:p w:rsidR="005F6136" w:rsidRPr="00B37D0E" w:rsidRDefault="005F6136" w:rsidP="005F6136">
      <w:pPr>
        <w:rPr>
          <w:szCs w:val="22"/>
        </w:rPr>
      </w:pPr>
    </w:p>
    <w:p w:rsidR="005F6136" w:rsidRPr="00B37D0E" w:rsidRDefault="005F6136" w:rsidP="005F6136">
      <w:pPr>
        <w:jc w:val="center"/>
        <w:rPr>
          <w:bCs/>
          <w:szCs w:val="22"/>
          <w:lang w:val="el-GR"/>
        </w:rPr>
      </w:pPr>
      <w:r w:rsidRPr="00B37D0E">
        <w:rPr>
          <w:bCs/>
          <w:szCs w:val="22"/>
          <w:lang w:val="el-GR"/>
        </w:rPr>
        <w:lastRenderedPageBreak/>
        <w:t>ΠΙΝΑΚΑΣ Σ2 :  ΦΥΛΛΟ ΣΥΜΜΟΡΦΩΣΗΣ ΕΙΔΙΚΩΝ ΟΡΩΝ</w:t>
      </w:r>
    </w:p>
    <w:tbl>
      <w:tblPr>
        <w:tblW w:w="10244" w:type="dxa"/>
        <w:jc w:val="center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5913"/>
        <w:gridCol w:w="2280"/>
        <w:gridCol w:w="1200"/>
      </w:tblGrid>
      <w:tr w:rsidR="005F6136" w:rsidRPr="00B37D0E" w:rsidTr="003E7EE8">
        <w:trPr>
          <w:trHeight w:hRule="exact" w:val="726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Α/Α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ind w:right="874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ΕΙΔΙΚΟΙ ΟΡΟΙ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ΑΠΑΝΤΗΣΗ-ΤΕΚΜΗΡΙΩΣΗ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80" w:right="-40"/>
              <w:jc w:val="center"/>
              <w:rPr>
                <w:bCs/>
              </w:rPr>
            </w:pPr>
            <w:r w:rsidRPr="00B37D0E">
              <w:rPr>
                <w:bCs/>
                <w:szCs w:val="22"/>
              </w:rPr>
              <w:t>ΠΑΡΑΠΟΜΠΗ</w:t>
            </w:r>
          </w:p>
        </w:tc>
      </w:tr>
      <w:tr w:rsidR="005F6136" w:rsidRPr="00B37D0E" w:rsidTr="003E7EE8">
        <w:trPr>
          <w:trHeight w:hRule="exact" w:val="163"/>
          <w:jc w:val="center"/>
        </w:trPr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59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</w:tr>
      <w:tr w:rsidR="005F6136" w:rsidRPr="00B37D0E" w:rsidTr="003E7EE8">
        <w:trPr>
          <w:trHeight w:hRule="exact" w:val="159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59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</w:pPr>
            <w:r w:rsidRPr="00B37D0E">
              <w:rPr>
                <w:szCs w:val="22"/>
              </w:rPr>
              <w:t xml:space="preserve"> 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136" w:rsidRPr="00B37D0E" w:rsidRDefault="005F6136" w:rsidP="00E17BE9">
            <w:pPr>
              <w:shd w:val="clear" w:color="auto" w:fill="FFFFFF"/>
              <w:tabs>
                <w:tab w:val="left" w:pos="1661"/>
                <w:tab w:val="left" w:pos="1802"/>
                <w:tab w:val="left" w:pos="1944"/>
              </w:tabs>
              <w:ind w:left="385" w:right="-40" w:hanging="385"/>
              <w:rPr>
                <w:bCs/>
              </w:rPr>
            </w:pPr>
          </w:p>
        </w:tc>
      </w:tr>
    </w:tbl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F6136"/>
    <w:rsid w:val="000036E8"/>
    <w:rsid w:val="00025998"/>
    <w:rsid w:val="00036A34"/>
    <w:rsid w:val="00056F3F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3E7EE8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5F6136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8D73F9"/>
    <w:rsid w:val="009009F0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E6FB7"/>
    <w:rsid w:val="009F08AA"/>
    <w:rsid w:val="009F20F0"/>
    <w:rsid w:val="009F3C4F"/>
    <w:rsid w:val="00A170AE"/>
    <w:rsid w:val="00A50C23"/>
    <w:rsid w:val="00A84052"/>
    <w:rsid w:val="00A9185A"/>
    <w:rsid w:val="00A97276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31615"/>
    <w:rsid w:val="00D52F31"/>
    <w:rsid w:val="00D84424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3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5F61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5F6136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5F6136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customStyle="1" w:styleId="Default">
    <w:name w:val="Default"/>
    <w:rsid w:val="005F6136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styleId="3">
    <w:name w:val="Body Text 3"/>
    <w:basedOn w:val="a"/>
    <w:link w:val="3Char"/>
    <w:rsid w:val="005F6136"/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5F6136"/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5F61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2202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2</cp:revision>
  <dcterms:created xsi:type="dcterms:W3CDTF">2018-04-13T10:24:00Z</dcterms:created>
  <dcterms:modified xsi:type="dcterms:W3CDTF">2018-04-13T10:25:00Z</dcterms:modified>
</cp:coreProperties>
</file>