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96E" w:rsidRDefault="00A4296E" w:rsidP="00A4296E">
      <w:pPr>
        <w:suppressAutoHyphens w:val="0"/>
        <w:spacing w:after="0" w:line="240" w:lineRule="auto"/>
        <w:rPr>
          <w:b/>
          <w:bCs/>
          <w:color w:val="00000A"/>
          <w:u w:val="single"/>
        </w:rPr>
      </w:pPr>
      <w:r>
        <w:rPr>
          <w:b/>
          <w:bCs/>
          <w:color w:val="00000A"/>
          <w:u w:val="single"/>
        </w:rPr>
        <w:t>ΠΑΡΑΡΤΗΜΑ Α</w:t>
      </w:r>
    </w:p>
    <w:p w:rsidR="00A4296E" w:rsidRDefault="00A4296E" w:rsidP="00A4296E">
      <w:pPr>
        <w:suppressAutoHyphens w:val="0"/>
        <w:spacing w:after="0" w:line="240" w:lineRule="auto"/>
        <w:rPr>
          <w:b/>
          <w:bCs/>
          <w:color w:val="00000A"/>
          <w:u w:val="single"/>
        </w:rPr>
      </w:pPr>
      <w:r>
        <w:rPr>
          <w:b/>
          <w:bCs/>
          <w:color w:val="00000A"/>
          <w:u w:val="single"/>
        </w:rPr>
        <w:t>ΦΥΣΙΚΟ ΚΑΙ ΟΙΚΟΝΟΜΙΚΟ ΑΝΤΙΚΕΙΜΕΝΟ ΣΥΜΒΑΣΗΣ</w:t>
      </w:r>
    </w:p>
    <w:p w:rsidR="00A4296E" w:rsidRDefault="00A4296E" w:rsidP="00A4296E">
      <w:pPr>
        <w:suppressAutoHyphens w:val="0"/>
        <w:spacing w:after="0" w:line="240" w:lineRule="auto"/>
        <w:rPr>
          <w:b/>
          <w:bCs/>
          <w:color w:val="00000A"/>
          <w:u w:val="single"/>
        </w:rPr>
      </w:pPr>
    </w:p>
    <w:p w:rsidR="00A4296E" w:rsidRDefault="00A4296E" w:rsidP="00A4296E">
      <w:pPr>
        <w:suppressAutoHyphens w:val="0"/>
        <w:spacing w:after="0" w:line="240" w:lineRule="auto"/>
        <w:rPr>
          <w:b/>
          <w:bCs/>
          <w:color w:val="00000A"/>
          <w:u w:val="single"/>
        </w:rPr>
      </w:pPr>
    </w:p>
    <w:p w:rsidR="00A4296E" w:rsidRDefault="00A4296E" w:rsidP="00A4296E">
      <w:pPr>
        <w:suppressAutoHyphens w:val="0"/>
        <w:spacing w:after="0" w:line="240" w:lineRule="auto"/>
        <w:rPr>
          <w:b/>
          <w:bCs/>
          <w:color w:val="00000A"/>
          <w:u w:val="single"/>
        </w:rPr>
      </w:pPr>
    </w:p>
    <w:p w:rsidR="00A4296E" w:rsidRPr="00BC37FB" w:rsidRDefault="00A4296E" w:rsidP="00A4296E">
      <w:pPr>
        <w:spacing w:after="120" w:line="360" w:lineRule="auto"/>
        <w:jc w:val="center"/>
        <w:rPr>
          <w:rFonts w:asciiTheme="minorHAnsi" w:hAnsiTheme="minorHAnsi"/>
        </w:rPr>
      </w:pPr>
      <w:r w:rsidRPr="00BC37FB">
        <w:rPr>
          <w:rFonts w:asciiTheme="minorHAnsi" w:hAnsiTheme="minorHAnsi" w:cs="Arial"/>
          <w:b/>
          <w:sz w:val="21"/>
          <w:szCs w:val="21"/>
        </w:rPr>
        <w:t>ΠΙΝΑΚΑΣ ΕΙΔΩΝ</w:t>
      </w:r>
    </w:p>
    <w:tbl>
      <w:tblPr>
        <w:tblW w:w="605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1045"/>
        <w:gridCol w:w="663"/>
        <w:gridCol w:w="1002"/>
        <w:gridCol w:w="1368"/>
        <w:gridCol w:w="601"/>
        <w:gridCol w:w="1246"/>
        <w:gridCol w:w="1293"/>
        <w:gridCol w:w="1295"/>
        <w:gridCol w:w="1222"/>
      </w:tblGrid>
      <w:tr w:rsidR="00A4296E" w:rsidRPr="006F0B44" w:rsidTr="00666D3B">
        <w:trPr>
          <w:trHeight w:val="765"/>
        </w:trPr>
        <w:tc>
          <w:tcPr>
            <w:tcW w:w="280" w:type="pct"/>
            <w:shd w:val="clear" w:color="auto" w:fill="auto"/>
            <w:vAlign w:val="center"/>
            <w:hideMark/>
          </w:tcPr>
          <w:p w:rsidR="00A4296E" w:rsidRPr="006F0B44" w:rsidRDefault="00A4296E" w:rsidP="00666D3B">
            <w:pPr>
              <w:suppressAutoHyphens w:val="0"/>
              <w:spacing w:after="0" w:line="240" w:lineRule="auto"/>
              <w:rPr>
                <w:rFonts w:asciiTheme="minorHAnsi" w:eastAsia="Times New Roman" w:hAnsiTheme="minorHAnsi" w:cs="Arial"/>
                <w:b/>
                <w:bCs/>
                <w:lang w:eastAsia="el-GR"/>
              </w:rPr>
            </w:pPr>
            <w:r w:rsidRPr="006F0B44">
              <w:rPr>
                <w:rFonts w:asciiTheme="minorHAnsi" w:eastAsia="Times New Roman" w:hAnsiTheme="minorHAnsi" w:cs="Arial"/>
                <w:b/>
                <w:bCs/>
                <w:lang w:eastAsia="el-GR"/>
              </w:rPr>
              <w:t>A/A</w:t>
            </w:r>
          </w:p>
        </w:tc>
        <w:tc>
          <w:tcPr>
            <w:tcW w:w="507" w:type="pct"/>
            <w:shd w:val="clear" w:color="auto" w:fill="auto"/>
            <w:vAlign w:val="center"/>
            <w:hideMark/>
          </w:tcPr>
          <w:p w:rsidR="00A4296E" w:rsidRPr="006F0B44" w:rsidRDefault="00A4296E" w:rsidP="00666D3B">
            <w:pPr>
              <w:suppressAutoHyphens w:val="0"/>
              <w:spacing w:after="0" w:line="240" w:lineRule="auto"/>
              <w:jc w:val="center"/>
              <w:rPr>
                <w:rFonts w:asciiTheme="minorHAnsi" w:eastAsia="Times New Roman" w:hAnsiTheme="minorHAnsi" w:cs="Arial"/>
                <w:b/>
                <w:bCs/>
                <w:lang w:eastAsia="el-GR"/>
              </w:rPr>
            </w:pPr>
            <w:r w:rsidRPr="006F0B44">
              <w:rPr>
                <w:rFonts w:asciiTheme="minorHAnsi" w:eastAsia="Times New Roman" w:hAnsiTheme="minorHAnsi" w:cs="Arial"/>
                <w:b/>
                <w:bCs/>
                <w:lang w:eastAsia="el-GR"/>
              </w:rPr>
              <w:t>ΚΩΔΙΚΟΣ</w:t>
            </w:r>
          </w:p>
        </w:tc>
        <w:tc>
          <w:tcPr>
            <w:tcW w:w="321" w:type="pct"/>
            <w:shd w:val="clear" w:color="auto" w:fill="auto"/>
            <w:vAlign w:val="center"/>
            <w:hideMark/>
          </w:tcPr>
          <w:p w:rsidR="00A4296E" w:rsidRPr="006F0B44" w:rsidRDefault="00A4296E" w:rsidP="00666D3B">
            <w:pPr>
              <w:suppressAutoHyphens w:val="0"/>
              <w:spacing w:after="0" w:line="240" w:lineRule="auto"/>
              <w:jc w:val="center"/>
              <w:rPr>
                <w:rFonts w:asciiTheme="minorHAnsi" w:eastAsia="Times New Roman" w:hAnsiTheme="minorHAnsi" w:cs="Arial"/>
                <w:b/>
                <w:bCs/>
                <w:lang w:eastAsia="el-GR"/>
              </w:rPr>
            </w:pPr>
            <w:r w:rsidRPr="006F0B44">
              <w:rPr>
                <w:rFonts w:asciiTheme="minorHAnsi" w:eastAsia="Times New Roman" w:hAnsiTheme="minorHAnsi" w:cs="Arial"/>
                <w:b/>
                <w:bCs/>
                <w:lang w:eastAsia="el-GR"/>
              </w:rPr>
              <w:t>ΚΑΕ</w:t>
            </w:r>
          </w:p>
        </w:tc>
        <w:tc>
          <w:tcPr>
            <w:tcW w:w="486" w:type="pct"/>
          </w:tcPr>
          <w:p w:rsidR="00A4296E" w:rsidRPr="006F0B44" w:rsidRDefault="00A4296E" w:rsidP="00666D3B">
            <w:pPr>
              <w:suppressAutoHyphens w:val="0"/>
              <w:spacing w:after="0" w:line="240" w:lineRule="auto"/>
              <w:jc w:val="center"/>
              <w:rPr>
                <w:rFonts w:asciiTheme="minorHAnsi" w:eastAsia="Times New Roman" w:hAnsiTheme="minorHAnsi" w:cs="Arial"/>
                <w:b/>
                <w:bCs/>
                <w:lang w:eastAsia="el-GR"/>
              </w:rPr>
            </w:pPr>
            <w:r w:rsidRPr="006F0B44">
              <w:rPr>
                <w:rFonts w:asciiTheme="minorHAnsi" w:eastAsia="Times New Roman" w:hAnsiTheme="minorHAnsi" w:cs="Arial"/>
                <w:b/>
                <w:bCs/>
                <w:lang w:eastAsia="el-GR"/>
              </w:rPr>
              <w:t>ΑΡ. ΑΙΤΗΣΗΣ</w:t>
            </w:r>
          </w:p>
        </w:tc>
        <w:tc>
          <w:tcPr>
            <w:tcW w:w="663" w:type="pct"/>
            <w:shd w:val="clear" w:color="auto" w:fill="auto"/>
            <w:vAlign w:val="center"/>
            <w:hideMark/>
          </w:tcPr>
          <w:p w:rsidR="00A4296E" w:rsidRPr="006F0B44" w:rsidRDefault="00A4296E" w:rsidP="00666D3B">
            <w:pPr>
              <w:suppressAutoHyphens w:val="0"/>
              <w:spacing w:after="0" w:line="240" w:lineRule="auto"/>
              <w:jc w:val="center"/>
              <w:rPr>
                <w:rFonts w:asciiTheme="minorHAnsi" w:eastAsia="Times New Roman" w:hAnsiTheme="minorHAnsi" w:cs="Arial"/>
                <w:b/>
                <w:bCs/>
                <w:lang w:eastAsia="el-GR"/>
              </w:rPr>
            </w:pPr>
            <w:r w:rsidRPr="006F0B44">
              <w:rPr>
                <w:rFonts w:asciiTheme="minorHAnsi" w:eastAsia="Times New Roman" w:hAnsiTheme="minorHAnsi" w:cs="Arial"/>
                <w:b/>
                <w:bCs/>
                <w:lang w:eastAsia="el-GR"/>
              </w:rPr>
              <w:t>ΠΕΡΙΓΡΑΦΗ</w:t>
            </w:r>
          </w:p>
        </w:tc>
        <w:tc>
          <w:tcPr>
            <w:tcW w:w="291" w:type="pct"/>
            <w:shd w:val="clear" w:color="auto" w:fill="auto"/>
            <w:vAlign w:val="center"/>
            <w:hideMark/>
          </w:tcPr>
          <w:p w:rsidR="00A4296E" w:rsidRPr="006F0B44" w:rsidRDefault="00A4296E" w:rsidP="00666D3B">
            <w:pPr>
              <w:suppressAutoHyphens w:val="0"/>
              <w:spacing w:after="0" w:line="240" w:lineRule="auto"/>
              <w:jc w:val="center"/>
              <w:rPr>
                <w:rFonts w:asciiTheme="minorHAnsi" w:eastAsia="Times New Roman" w:hAnsiTheme="minorHAnsi" w:cs="Arial"/>
                <w:b/>
                <w:bCs/>
                <w:lang w:eastAsia="el-GR"/>
              </w:rPr>
            </w:pPr>
            <w:r w:rsidRPr="006F0B44">
              <w:rPr>
                <w:rFonts w:asciiTheme="minorHAnsi" w:eastAsia="Times New Roman" w:hAnsiTheme="minorHAnsi" w:cs="Arial"/>
                <w:b/>
                <w:bCs/>
                <w:lang w:eastAsia="el-GR"/>
              </w:rPr>
              <w:t>MM</w:t>
            </w:r>
          </w:p>
        </w:tc>
        <w:tc>
          <w:tcPr>
            <w:tcW w:w="604" w:type="pct"/>
            <w:shd w:val="clear" w:color="auto" w:fill="auto"/>
            <w:vAlign w:val="center"/>
            <w:hideMark/>
          </w:tcPr>
          <w:p w:rsidR="00A4296E" w:rsidRPr="006F0B44" w:rsidRDefault="00A4296E" w:rsidP="00666D3B">
            <w:pPr>
              <w:suppressAutoHyphens w:val="0"/>
              <w:spacing w:after="0" w:line="240" w:lineRule="auto"/>
              <w:jc w:val="center"/>
              <w:rPr>
                <w:rFonts w:asciiTheme="minorHAnsi" w:eastAsia="Times New Roman" w:hAnsiTheme="minorHAnsi" w:cs="Arial"/>
                <w:b/>
                <w:bCs/>
                <w:lang w:eastAsia="el-GR"/>
              </w:rPr>
            </w:pPr>
            <w:r w:rsidRPr="006F0B44">
              <w:rPr>
                <w:rFonts w:asciiTheme="minorHAnsi" w:eastAsia="Times New Roman" w:hAnsiTheme="minorHAnsi" w:cs="Arial"/>
                <w:b/>
                <w:bCs/>
                <w:lang w:eastAsia="el-GR"/>
              </w:rPr>
              <w:t>ΠΟΣΟΤΗΤΑ</w:t>
            </w:r>
          </w:p>
        </w:tc>
        <w:tc>
          <w:tcPr>
            <w:tcW w:w="627" w:type="pct"/>
            <w:shd w:val="clear" w:color="auto" w:fill="auto"/>
            <w:vAlign w:val="center"/>
            <w:hideMark/>
          </w:tcPr>
          <w:p w:rsidR="00A4296E" w:rsidRPr="006F0B44" w:rsidRDefault="00A4296E" w:rsidP="00666D3B">
            <w:pPr>
              <w:suppressAutoHyphens w:val="0"/>
              <w:spacing w:after="0" w:line="240" w:lineRule="auto"/>
              <w:jc w:val="center"/>
              <w:rPr>
                <w:rFonts w:asciiTheme="minorHAnsi" w:eastAsia="Times New Roman" w:hAnsiTheme="minorHAnsi" w:cs="Arial"/>
                <w:b/>
                <w:bCs/>
                <w:lang w:eastAsia="el-GR"/>
              </w:rPr>
            </w:pPr>
            <w:r w:rsidRPr="006F0B44">
              <w:rPr>
                <w:b/>
              </w:rPr>
              <w:t xml:space="preserve">ΚΩΔΙΚΟΣ </w:t>
            </w:r>
            <w:r w:rsidRPr="006F0B44">
              <w:rPr>
                <w:b/>
                <w:lang w:val="en-US"/>
              </w:rPr>
              <w:t>CPV</w:t>
            </w:r>
          </w:p>
        </w:tc>
        <w:tc>
          <w:tcPr>
            <w:tcW w:w="628" w:type="pct"/>
          </w:tcPr>
          <w:p w:rsidR="00A4296E" w:rsidRPr="006F0B44" w:rsidRDefault="00A4296E" w:rsidP="00666D3B">
            <w:pPr>
              <w:pStyle w:val="ecxmsonormal"/>
              <w:spacing w:after="200"/>
              <w:jc w:val="both"/>
              <w:rPr>
                <w:rFonts w:ascii="Calibri" w:hAnsi="Calibri"/>
                <w:b/>
                <w:sz w:val="22"/>
                <w:szCs w:val="22"/>
                <w:lang w:val="en-US"/>
              </w:rPr>
            </w:pPr>
            <w:r w:rsidRPr="006F0B44">
              <w:rPr>
                <w:rFonts w:ascii="Calibri" w:hAnsi="Calibri"/>
                <w:b/>
                <w:sz w:val="22"/>
                <w:szCs w:val="22"/>
              </w:rPr>
              <w:t xml:space="preserve">ΠΕΡΙΓΡΑΦΗ </w:t>
            </w:r>
            <w:r w:rsidRPr="006F0B44">
              <w:rPr>
                <w:rFonts w:ascii="Calibri" w:hAnsi="Calibri"/>
                <w:b/>
                <w:sz w:val="22"/>
                <w:szCs w:val="22"/>
                <w:lang w:val="en-US"/>
              </w:rPr>
              <w:t>CPV</w:t>
            </w:r>
          </w:p>
        </w:tc>
        <w:tc>
          <w:tcPr>
            <w:tcW w:w="592" w:type="pct"/>
          </w:tcPr>
          <w:p w:rsidR="00A4296E" w:rsidRPr="006F0B44" w:rsidRDefault="00A4296E" w:rsidP="00666D3B">
            <w:pPr>
              <w:pStyle w:val="ecxmsonormal"/>
              <w:spacing w:after="200"/>
              <w:jc w:val="both"/>
              <w:rPr>
                <w:rFonts w:ascii="Calibri" w:hAnsi="Calibri"/>
                <w:b/>
                <w:sz w:val="22"/>
                <w:szCs w:val="22"/>
              </w:rPr>
            </w:pPr>
            <w:r w:rsidRPr="006F0B44">
              <w:rPr>
                <w:rFonts w:ascii="Calibri" w:hAnsi="Calibri"/>
                <w:b/>
                <w:sz w:val="22"/>
                <w:szCs w:val="22"/>
              </w:rPr>
              <w:t>ΠΡ/ΣΘΕΙΣΑ ΔΑΠΑΝΗ ΠΛΕΟΝ Φ.Π.Α.</w:t>
            </w:r>
          </w:p>
        </w:tc>
      </w:tr>
      <w:tr w:rsidR="00A4296E" w:rsidRPr="006F0B44" w:rsidTr="00666D3B">
        <w:trPr>
          <w:trHeight w:val="882"/>
        </w:trPr>
        <w:tc>
          <w:tcPr>
            <w:tcW w:w="280" w:type="pct"/>
            <w:shd w:val="clear" w:color="auto" w:fill="auto"/>
            <w:vAlign w:val="center"/>
            <w:hideMark/>
          </w:tcPr>
          <w:p w:rsidR="00A4296E" w:rsidRPr="006F0B44" w:rsidRDefault="00A4296E" w:rsidP="00A4296E">
            <w:pPr>
              <w:pStyle w:val="a3"/>
              <w:numPr>
                <w:ilvl w:val="0"/>
                <w:numId w:val="1"/>
              </w:numPr>
              <w:suppressAutoHyphens w:val="0"/>
              <w:spacing w:after="0" w:line="240" w:lineRule="auto"/>
              <w:jc w:val="center"/>
              <w:rPr>
                <w:rFonts w:asciiTheme="minorHAnsi" w:eastAsia="Times New Roman" w:hAnsiTheme="minorHAnsi"/>
                <w:color w:val="000000"/>
                <w:lang w:eastAsia="el-GR"/>
              </w:rPr>
            </w:pPr>
          </w:p>
        </w:tc>
        <w:tc>
          <w:tcPr>
            <w:tcW w:w="507" w:type="pct"/>
            <w:shd w:val="clear" w:color="auto" w:fill="auto"/>
            <w:noWrap/>
            <w:vAlign w:val="center"/>
            <w:hideMark/>
          </w:tcPr>
          <w:p w:rsidR="00A4296E" w:rsidRPr="006F0B44" w:rsidRDefault="00A4296E" w:rsidP="00666D3B">
            <w:pPr>
              <w:jc w:val="center"/>
              <w:rPr>
                <w:rFonts w:asciiTheme="minorHAnsi" w:hAnsiTheme="minorHAnsi" w:cs="Arial"/>
              </w:rPr>
            </w:pPr>
            <w:r w:rsidRPr="006F0B44">
              <w:rPr>
                <w:rFonts w:asciiTheme="minorHAnsi" w:hAnsiTheme="minorHAnsi" w:cs="Arial"/>
              </w:rPr>
              <w:t>236248</w:t>
            </w:r>
          </w:p>
        </w:tc>
        <w:tc>
          <w:tcPr>
            <w:tcW w:w="321" w:type="pct"/>
            <w:shd w:val="clear" w:color="auto" w:fill="auto"/>
            <w:vAlign w:val="center"/>
            <w:hideMark/>
          </w:tcPr>
          <w:p w:rsidR="00A4296E" w:rsidRPr="006F0B44" w:rsidRDefault="00A4296E" w:rsidP="00666D3B">
            <w:pPr>
              <w:suppressAutoHyphens w:val="0"/>
              <w:spacing w:after="0" w:line="240" w:lineRule="auto"/>
              <w:jc w:val="center"/>
              <w:rPr>
                <w:rFonts w:asciiTheme="minorHAnsi" w:eastAsia="Times New Roman" w:hAnsiTheme="minorHAnsi"/>
                <w:color w:val="000000"/>
                <w:lang w:eastAsia="el-GR"/>
              </w:rPr>
            </w:pPr>
            <w:r w:rsidRPr="006F0B44">
              <w:rPr>
                <w:rFonts w:asciiTheme="minorHAnsi" w:eastAsia="Times New Roman" w:hAnsiTheme="minorHAnsi"/>
                <w:color w:val="000000"/>
                <w:lang w:eastAsia="el-GR"/>
              </w:rPr>
              <w:t>1292</w:t>
            </w:r>
          </w:p>
        </w:tc>
        <w:tc>
          <w:tcPr>
            <w:tcW w:w="486" w:type="pct"/>
            <w:vAlign w:val="center"/>
          </w:tcPr>
          <w:p w:rsidR="00A4296E" w:rsidRPr="006F0B44" w:rsidRDefault="00A4296E" w:rsidP="00666D3B">
            <w:pPr>
              <w:suppressAutoHyphens w:val="0"/>
              <w:spacing w:after="240" w:line="240" w:lineRule="auto"/>
              <w:jc w:val="center"/>
              <w:rPr>
                <w:rFonts w:asciiTheme="minorHAnsi" w:eastAsia="Times New Roman" w:hAnsiTheme="minorHAnsi"/>
                <w:color w:val="000000"/>
                <w:lang w:eastAsia="el-GR"/>
              </w:rPr>
            </w:pPr>
            <w:r w:rsidRPr="006F0B44">
              <w:rPr>
                <w:rFonts w:asciiTheme="minorHAnsi" w:eastAsia="Times New Roman" w:hAnsiTheme="minorHAnsi"/>
                <w:color w:val="000000"/>
                <w:lang w:eastAsia="el-GR"/>
              </w:rPr>
              <w:t>173</w:t>
            </w:r>
          </w:p>
        </w:tc>
        <w:tc>
          <w:tcPr>
            <w:tcW w:w="663" w:type="pct"/>
            <w:shd w:val="clear" w:color="auto" w:fill="auto"/>
            <w:vAlign w:val="center"/>
            <w:hideMark/>
          </w:tcPr>
          <w:p w:rsidR="00A4296E" w:rsidRPr="006F0B44" w:rsidRDefault="00A4296E" w:rsidP="00666D3B">
            <w:pPr>
              <w:jc w:val="center"/>
              <w:rPr>
                <w:rFonts w:asciiTheme="minorHAnsi" w:hAnsiTheme="minorHAnsi" w:cs="Arial"/>
              </w:rPr>
            </w:pPr>
            <w:r w:rsidRPr="006F0B44">
              <w:rPr>
                <w:rFonts w:asciiTheme="minorHAnsi" w:hAnsiTheme="minorHAnsi" w:cs="Arial"/>
              </w:rPr>
              <w:t>Λυχνία αξονικού τομογράφου</w:t>
            </w:r>
          </w:p>
        </w:tc>
        <w:tc>
          <w:tcPr>
            <w:tcW w:w="291" w:type="pct"/>
            <w:shd w:val="clear" w:color="auto" w:fill="auto"/>
            <w:noWrap/>
            <w:vAlign w:val="center"/>
            <w:hideMark/>
          </w:tcPr>
          <w:p w:rsidR="00A4296E" w:rsidRPr="006F0B44" w:rsidRDefault="00A4296E" w:rsidP="00666D3B">
            <w:pPr>
              <w:suppressAutoHyphens w:val="0"/>
              <w:spacing w:after="0" w:line="240" w:lineRule="auto"/>
              <w:jc w:val="center"/>
              <w:rPr>
                <w:rFonts w:asciiTheme="minorHAnsi" w:eastAsia="Times New Roman" w:hAnsiTheme="minorHAnsi"/>
                <w:color w:val="000000"/>
                <w:lang w:eastAsia="el-GR"/>
              </w:rPr>
            </w:pPr>
            <w:proofErr w:type="spellStart"/>
            <w:r w:rsidRPr="006F0B44">
              <w:rPr>
                <w:rFonts w:asciiTheme="minorHAnsi" w:eastAsia="Times New Roman" w:hAnsiTheme="minorHAnsi"/>
                <w:color w:val="000000"/>
                <w:lang w:eastAsia="el-GR"/>
              </w:rPr>
              <w:t>Τεμ</w:t>
            </w:r>
            <w:proofErr w:type="spellEnd"/>
          </w:p>
        </w:tc>
        <w:tc>
          <w:tcPr>
            <w:tcW w:w="604" w:type="pct"/>
            <w:shd w:val="clear" w:color="auto" w:fill="auto"/>
            <w:vAlign w:val="center"/>
            <w:hideMark/>
          </w:tcPr>
          <w:p w:rsidR="00A4296E" w:rsidRPr="006F0B44" w:rsidRDefault="00A4296E" w:rsidP="00666D3B">
            <w:pPr>
              <w:suppressAutoHyphens w:val="0"/>
              <w:spacing w:after="0" w:line="240" w:lineRule="auto"/>
              <w:jc w:val="center"/>
              <w:rPr>
                <w:rFonts w:asciiTheme="minorHAnsi" w:eastAsia="Times New Roman" w:hAnsiTheme="minorHAnsi"/>
                <w:color w:val="000000"/>
                <w:lang w:eastAsia="el-GR"/>
              </w:rPr>
            </w:pPr>
            <w:r w:rsidRPr="006F0B44">
              <w:rPr>
                <w:rFonts w:asciiTheme="minorHAnsi" w:eastAsia="Times New Roman" w:hAnsiTheme="minorHAnsi"/>
                <w:color w:val="000000"/>
                <w:lang w:eastAsia="el-GR"/>
              </w:rPr>
              <w:t>1</w:t>
            </w:r>
          </w:p>
        </w:tc>
        <w:tc>
          <w:tcPr>
            <w:tcW w:w="627" w:type="pct"/>
            <w:shd w:val="clear" w:color="auto" w:fill="auto"/>
            <w:hideMark/>
          </w:tcPr>
          <w:p w:rsidR="00A4296E" w:rsidRPr="006F0B44" w:rsidRDefault="00A4296E" w:rsidP="00666D3B">
            <w:pPr>
              <w:pStyle w:val="ecxmsonormal"/>
              <w:spacing w:after="200"/>
              <w:jc w:val="both"/>
              <w:rPr>
                <w:rFonts w:ascii="Calibri" w:hAnsi="Calibri"/>
                <w:sz w:val="22"/>
                <w:szCs w:val="22"/>
              </w:rPr>
            </w:pPr>
            <w:r w:rsidRPr="006F0B44">
              <w:rPr>
                <w:rFonts w:ascii="Calibri" w:hAnsi="Calibri"/>
                <w:sz w:val="22"/>
                <w:szCs w:val="22"/>
              </w:rPr>
              <w:t>31532100-5</w:t>
            </w:r>
          </w:p>
        </w:tc>
        <w:tc>
          <w:tcPr>
            <w:tcW w:w="628" w:type="pct"/>
          </w:tcPr>
          <w:p w:rsidR="00A4296E" w:rsidRPr="006F0B44" w:rsidRDefault="00A4296E" w:rsidP="00666D3B">
            <w:pPr>
              <w:pStyle w:val="ecxmsonormal"/>
              <w:spacing w:after="200"/>
              <w:jc w:val="both"/>
              <w:rPr>
                <w:rFonts w:ascii="Calibri" w:hAnsi="Calibri"/>
                <w:sz w:val="22"/>
                <w:szCs w:val="22"/>
              </w:rPr>
            </w:pPr>
            <w:r w:rsidRPr="006F0B44">
              <w:rPr>
                <w:rFonts w:ascii="Calibri" w:hAnsi="Calibri"/>
                <w:sz w:val="22"/>
                <w:szCs w:val="22"/>
              </w:rPr>
              <w:t>Λυχνίες</w:t>
            </w:r>
          </w:p>
        </w:tc>
        <w:tc>
          <w:tcPr>
            <w:tcW w:w="592" w:type="pct"/>
          </w:tcPr>
          <w:p w:rsidR="00A4296E" w:rsidRPr="006F0B44" w:rsidRDefault="00A4296E" w:rsidP="00666D3B">
            <w:pPr>
              <w:pStyle w:val="ecxmsonormal"/>
              <w:spacing w:after="200"/>
              <w:jc w:val="both"/>
              <w:rPr>
                <w:rFonts w:ascii="Calibri" w:hAnsi="Calibri"/>
                <w:sz w:val="22"/>
                <w:szCs w:val="22"/>
              </w:rPr>
            </w:pPr>
            <w:r w:rsidRPr="006F0B44">
              <w:rPr>
                <w:rFonts w:ascii="Calibri" w:hAnsi="Calibri"/>
                <w:sz w:val="22"/>
                <w:szCs w:val="22"/>
              </w:rPr>
              <w:t>44.500,00</w:t>
            </w:r>
          </w:p>
        </w:tc>
      </w:tr>
    </w:tbl>
    <w:p w:rsidR="00A4296E" w:rsidRDefault="00A4296E" w:rsidP="00A4296E">
      <w:pPr>
        <w:suppressAutoHyphens w:val="0"/>
        <w:spacing w:after="0" w:line="240" w:lineRule="auto"/>
        <w:rPr>
          <w:b/>
          <w:bCs/>
          <w:color w:val="00000A"/>
          <w:u w:val="single"/>
        </w:rPr>
      </w:pPr>
    </w:p>
    <w:p w:rsidR="00A4296E" w:rsidRDefault="00A4296E" w:rsidP="00A4296E">
      <w:pPr>
        <w:suppressAutoHyphens w:val="0"/>
        <w:spacing w:after="0" w:line="240" w:lineRule="auto"/>
        <w:jc w:val="both"/>
        <w:rPr>
          <w:rFonts w:asciiTheme="minorHAnsi" w:eastAsia="Times New Roman" w:hAnsiTheme="minorHAnsi"/>
          <w:color w:val="000000"/>
          <w:lang w:eastAsia="el-GR"/>
        </w:rPr>
      </w:pPr>
      <w:r w:rsidRPr="00102E06">
        <w:rPr>
          <w:rFonts w:asciiTheme="minorHAnsi" w:eastAsia="Times New Roman" w:hAnsiTheme="minorHAnsi" w:cs="Arial"/>
          <w:b/>
          <w:bCs/>
          <w:sz w:val="20"/>
          <w:szCs w:val="20"/>
          <w:lang w:eastAsia="el-GR"/>
        </w:rPr>
        <w:t>ΤΕΧΝΙΚΕΣ ΠΡΟΔΙΑΓΡΑΦΕΣ</w:t>
      </w:r>
    </w:p>
    <w:p w:rsidR="00A4296E" w:rsidRPr="00102E06" w:rsidRDefault="00A4296E" w:rsidP="00A4296E">
      <w:pPr>
        <w:suppressAutoHyphens w:val="0"/>
        <w:spacing w:after="0" w:line="240" w:lineRule="auto"/>
        <w:jc w:val="both"/>
        <w:rPr>
          <w:rFonts w:asciiTheme="minorHAnsi" w:eastAsia="Times New Roman" w:hAnsiTheme="minorHAnsi"/>
          <w:color w:val="000000"/>
          <w:lang w:eastAsia="el-GR"/>
        </w:rPr>
      </w:pPr>
      <w:r w:rsidRPr="00102E06">
        <w:rPr>
          <w:rFonts w:asciiTheme="minorHAnsi" w:eastAsia="Times New Roman" w:hAnsiTheme="minorHAnsi"/>
          <w:color w:val="000000"/>
          <w:lang w:eastAsia="el-GR"/>
        </w:rPr>
        <w:t xml:space="preserve">Η λυχνία να είναι απόλυτα συμβατή  με αξονικό τομογράφο 16 τομών ( </w:t>
      </w:r>
      <w:proofErr w:type="spellStart"/>
      <w:r w:rsidRPr="00102E06">
        <w:rPr>
          <w:rFonts w:asciiTheme="minorHAnsi" w:eastAsia="Times New Roman" w:hAnsiTheme="minorHAnsi"/>
          <w:color w:val="000000"/>
          <w:lang w:eastAsia="el-GR"/>
        </w:rPr>
        <w:t>multi</w:t>
      </w:r>
      <w:proofErr w:type="spellEnd"/>
      <w:r w:rsidRPr="00102E06">
        <w:rPr>
          <w:rFonts w:asciiTheme="minorHAnsi" w:eastAsia="Times New Roman" w:hAnsiTheme="minorHAnsi"/>
          <w:color w:val="000000"/>
          <w:lang w:eastAsia="el-GR"/>
        </w:rPr>
        <w:t xml:space="preserve"> </w:t>
      </w:r>
      <w:proofErr w:type="spellStart"/>
      <w:r w:rsidRPr="00102E06">
        <w:rPr>
          <w:rFonts w:asciiTheme="minorHAnsi" w:eastAsia="Times New Roman" w:hAnsiTheme="minorHAnsi"/>
          <w:color w:val="000000"/>
          <w:lang w:eastAsia="el-GR"/>
        </w:rPr>
        <w:t>slice</w:t>
      </w:r>
      <w:proofErr w:type="spellEnd"/>
      <w:r w:rsidRPr="00102E06">
        <w:rPr>
          <w:rFonts w:asciiTheme="minorHAnsi" w:eastAsia="Times New Roman" w:hAnsiTheme="minorHAnsi"/>
          <w:color w:val="000000"/>
          <w:lang w:eastAsia="el-GR"/>
        </w:rPr>
        <w:t xml:space="preserve"> CT) GE </w:t>
      </w:r>
      <w:proofErr w:type="spellStart"/>
      <w:r w:rsidRPr="00102E06">
        <w:rPr>
          <w:rFonts w:asciiTheme="minorHAnsi" w:eastAsia="Times New Roman" w:hAnsiTheme="minorHAnsi"/>
          <w:color w:val="000000"/>
          <w:lang w:eastAsia="el-GR"/>
        </w:rPr>
        <w:t>Brighspeed</w:t>
      </w:r>
      <w:proofErr w:type="spellEnd"/>
      <w:r w:rsidRPr="00102E06">
        <w:rPr>
          <w:rFonts w:asciiTheme="minorHAnsi" w:eastAsia="Times New Roman" w:hAnsiTheme="minorHAnsi"/>
          <w:color w:val="000000"/>
          <w:lang w:eastAsia="el-GR"/>
        </w:rPr>
        <w:t xml:space="preserve"> </w:t>
      </w:r>
      <w:proofErr w:type="spellStart"/>
      <w:r w:rsidRPr="00102E06">
        <w:rPr>
          <w:rFonts w:asciiTheme="minorHAnsi" w:eastAsia="Times New Roman" w:hAnsiTheme="minorHAnsi"/>
          <w:color w:val="000000"/>
          <w:lang w:eastAsia="el-GR"/>
        </w:rPr>
        <w:t>Elite</w:t>
      </w:r>
      <w:proofErr w:type="spellEnd"/>
      <w:r w:rsidRPr="00102E06">
        <w:rPr>
          <w:rFonts w:asciiTheme="minorHAnsi" w:eastAsia="Times New Roman" w:hAnsiTheme="minorHAnsi"/>
          <w:color w:val="000000"/>
          <w:lang w:eastAsia="el-GR"/>
        </w:rPr>
        <w:t xml:space="preserve"> του νοσοκομείου μας.  Να είναι του ίδιου διαγνωστικού τύπου ίδια χαρακτηριστικά ισχύος ίδιας απαγωγής  θερμότητας,  ίδια νήματα ίδιο φίλτρο (BOWTIE) εγκατεστημένη στον αξονικό σε πλήρη λειτουργία. Να δοθεί εγγύηση τουλάχιστον ενός έτους. Η συμβατότητα της  προσφερόμενης λυχνίας θα πρέπει να επιβεβαιώνεται με δήλωση του  Ν.1599 από τον νόμιμο εκπρόσωπο/ αντιπρόσωπο του κατασκευαστικού οίκου στην Ελλάδα καθώς και ο τεχνικός εγκατάστασης  να έχει πιστοποίηση για εγκατάσταση στον συγκεκριμένο  τομογράφο.</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F21515"/>
    <w:multiLevelType w:val="multilevel"/>
    <w:tmpl w:val="B5EEE2B2"/>
    <w:lvl w:ilvl="0">
      <w:start w:val="1"/>
      <w:numFmt w:val="decimal"/>
      <w:lvlText w:val="%1."/>
      <w:lvlJc w:val="left"/>
      <w:pPr>
        <w:ind w:left="720" w:hanging="360"/>
      </w:pPr>
    </w:lvl>
    <w:lvl w:ilvl="1">
      <w:start w:val="1"/>
      <w:numFmt w:val="decimal"/>
      <w:isLgl/>
      <w:lvlText w:val="%1.%2"/>
      <w:lvlJc w:val="left"/>
      <w:pPr>
        <w:ind w:left="720" w:hanging="360"/>
      </w:pPr>
      <w:rPr>
        <w:rFonts w:hint="default"/>
        <w:b/>
        <w:sz w:val="21"/>
      </w:rPr>
    </w:lvl>
    <w:lvl w:ilvl="2">
      <w:start w:val="1"/>
      <w:numFmt w:val="decimal"/>
      <w:isLgl/>
      <w:lvlText w:val="%1.%2.%3"/>
      <w:lvlJc w:val="left"/>
      <w:pPr>
        <w:ind w:left="1080" w:hanging="720"/>
      </w:pPr>
      <w:rPr>
        <w:rFonts w:hint="default"/>
        <w:b/>
        <w:sz w:val="21"/>
      </w:rPr>
    </w:lvl>
    <w:lvl w:ilvl="3">
      <w:start w:val="1"/>
      <w:numFmt w:val="decimal"/>
      <w:isLgl/>
      <w:lvlText w:val="%1.%2.%3.%4"/>
      <w:lvlJc w:val="left"/>
      <w:pPr>
        <w:ind w:left="1080" w:hanging="720"/>
      </w:pPr>
      <w:rPr>
        <w:rFonts w:hint="default"/>
        <w:b/>
        <w:sz w:val="21"/>
      </w:rPr>
    </w:lvl>
    <w:lvl w:ilvl="4">
      <w:start w:val="1"/>
      <w:numFmt w:val="decimal"/>
      <w:isLgl/>
      <w:lvlText w:val="%1.%2.%3.%4.%5"/>
      <w:lvlJc w:val="left"/>
      <w:pPr>
        <w:ind w:left="1080" w:hanging="720"/>
      </w:pPr>
      <w:rPr>
        <w:rFonts w:hint="default"/>
        <w:b/>
        <w:sz w:val="21"/>
      </w:rPr>
    </w:lvl>
    <w:lvl w:ilvl="5">
      <w:start w:val="1"/>
      <w:numFmt w:val="decimal"/>
      <w:isLgl/>
      <w:lvlText w:val="%1.%2.%3.%4.%5.%6"/>
      <w:lvlJc w:val="left"/>
      <w:pPr>
        <w:ind w:left="1440" w:hanging="1080"/>
      </w:pPr>
      <w:rPr>
        <w:rFonts w:hint="default"/>
        <w:b/>
        <w:sz w:val="21"/>
      </w:rPr>
    </w:lvl>
    <w:lvl w:ilvl="6">
      <w:start w:val="1"/>
      <w:numFmt w:val="decimal"/>
      <w:isLgl/>
      <w:lvlText w:val="%1.%2.%3.%4.%5.%6.%7"/>
      <w:lvlJc w:val="left"/>
      <w:pPr>
        <w:ind w:left="1440" w:hanging="1080"/>
      </w:pPr>
      <w:rPr>
        <w:rFonts w:hint="default"/>
        <w:b/>
        <w:sz w:val="21"/>
      </w:rPr>
    </w:lvl>
    <w:lvl w:ilvl="7">
      <w:start w:val="1"/>
      <w:numFmt w:val="decimal"/>
      <w:isLgl/>
      <w:lvlText w:val="%1.%2.%3.%4.%5.%6.%7.%8"/>
      <w:lvlJc w:val="left"/>
      <w:pPr>
        <w:ind w:left="1800" w:hanging="1440"/>
      </w:pPr>
      <w:rPr>
        <w:rFonts w:hint="default"/>
        <w:b/>
        <w:sz w:val="21"/>
      </w:rPr>
    </w:lvl>
    <w:lvl w:ilvl="8">
      <w:start w:val="1"/>
      <w:numFmt w:val="decimal"/>
      <w:isLgl/>
      <w:lvlText w:val="%1.%2.%3.%4.%5.%6.%7.%8.%9"/>
      <w:lvlJc w:val="left"/>
      <w:pPr>
        <w:ind w:left="1800" w:hanging="1440"/>
      </w:pPr>
      <w:rPr>
        <w:rFonts w:hint="default"/>
        <w:b/>
        <w:sz w:val="21"/>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4296E"/>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2F048B"/>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C4310"/>
    <w:rsid w:val="004D27A6"/>
    <w:rsid w:val="004E0F4B"/>
    <w:rsid w:val="004E5E68"/>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1D"/>
    <w:rsid w:val="006F2542"/>
    <w:rsid w:val="006F35F7"/>
    <w:rsid w:val="006F46C8"/>
    <w:rsid w:val="006F793A"/>
    <w:rsid w:val="00723487"/>
    <w:rsid w:val="00730590"/>
    <w:rsid w:val="00753C57"/>
    <w:rsid w:val="00761949"/>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4296E"/>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96E"/>
    <w:pPr>
      <w:suppressAutoHyphens/>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96E"/>
    <w:pPr>
      <w:ind w:left="720"/>
    </w:pPr>
  </w:style>
  <w:style w:type="paragraph" w:customStyle="1" w:styleId="ecxmsonormal">
    <w:name w:val="ecxmsonormal"/>
    <w:basedOn w:val="a"/>
    <w:rsid w:val="00A4296E"/>
    <w:pPr>
      <w:suppressAutoHyphens w:val="0"/>
      <w:spacing w:after="324" w:line="240" w:lineRule="auto"/>
    </w:pPr>
    <w:rPr>
      <w:rFonts w:ascii="Times New Roman" w:eastAsia="Times New Roman" w:hAnsi="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753</Characters>
  <Application>Microsoft Office Word</Application>
  <DocSecurity>0</DocSecurity>
  <Lines>6</Lines>
  <Paragraphs>1</Paragraphs>
  <ScaleCrop>false</ScaleCrop>
  <Company>Hewlett-Packard Company</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2018-11-06T08:33:00Z</dcterms:created>
  <dcterms:modified xsi:type="dcterms:W3CDTF">2018-11-06T08:33:00Z</dcterms:modified>
</cp:coreProperties>
</file>