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9D" w:rsidRPr="00DF4D7E" w:rsidRDefault="00BC6F9D" w:rsidP="00BC6F9D">
      <w:r w:rsidRPr="00DF4D7E">
        <w:rPr>
          <w:rStyle w:val="100"/>
          <w:rFonts w:asciiTheme="majorHAnsi" w:eastAsiaTheme="majorEastAsia" w:hAnsiTheme="majorHAnsi" w:cstheme="majorBidi"/>
          <w:sz w:val="28"/>
        </w:rPr>
        <w:t>ΠΑΡΑΡΤΗΜΑ Β'</w:t>
      </w:r>
      <w:r>
        <w:rPr>
          <w:rStyle w:val="100"/>
          <w:rFonts w:asciiTheme="majorHAnsi" w:eastAsiaTheme="majorEastAsia" w:hAnsiTheme="majorHAnsi" w:cstheme="majorBidi"/>
          <w:sz w:val="28"/>
        </w:rPr>
        <w:t xml:space="preserve"> - </w:t>
      </w:r>
      <w:bookmarkStart w:id="0" w:name="bookmark66"/>
      <w:r w:rsidRPr="00DF4D7E">
        <w:rPr>
          <w:rStyle w:val="221"/>
          <w:rFonts w:asciiTheme="majorHAnsi" w:eastAsiaTheme="majorEastAsia" w:hAnsiTheme="majorHAnsi" w:cstheme="majorBidi"/>
          <w:sz w:val="28"/>
        </w:rPr>
        <w:t>ΤΕΧΝΙΚΕΣ ΠΡΟΔΙΑΓΡΑΦΕΣ - ΑΝΤΙΚΕΙΜΕΝΟ ΤΗΣ ΣΥΜΒΑΣΗΣ</w:t>
      </w:r>
      <w:bookmarkEnd w:id="0"/>
    </w:p>
    <w:p w:rsidR="00BC6F9D" w:rsidRDefault="00BC6F9D" w:rsidP="00BC6F9D">
      <w:pPr>
        <w:rPr>
          <w:rStyle w:val="100"/>
          <w:b/>
          <w:bCs/>
        </w:rPr>
      </w:pPr>
      <w:bookmarkStart w:id="1" w:name="bookmark71"/>
    </w:p>
    <w:p w:rsidR="00BC6F9D" w:rsidRPr="008614F7" w:rsidRDefault="00BC6F9D" w:rsidP="00BC6F9D">
      <w:pPr>
        <w:autoSpaceDE w:val="0"/>
        <w:autoSpaceDN w:val="0"/>
        <w:adjustRightInd w:val="0"/>
        <w:spacing w:line="360" w:lineRule="auto"/>
        <w:jc w:val="both"/>
        <w:rPr>
          <w:rFonts w:asciiTheme="majorHAnsi" w:hAnsiTheme="majorHAnsi"/>
          <w:b/>
          <w:bCs/>
          <w:sz w:val="20"/>
          <w:szCs w:val="20"/>
        </w:rPr>
      </w:pPr>
      <w:r w:rsidRPr="008614F7">
        <w:rPr>
          <w:rFonts w:asciiTheme="majorHAnsi" w:hAnsiTheme="majorHAnsi"/>
          <w:b/>
          <w:bCs/>
          <w:sz w:val="20"/>
          <w:szCs w:val="20"/>
        </w:rPr>
        <w:t xml:space="preserve">ΠΑΡΑΡΤΗΜΑ Β΄: ΤΕΧΝΙΚΕΣ ΠΡΟΔΙΑΓΡΑΦΕΣ - ΑΝΤΙΚΕΙΜΕΝΟ ΤΟΥ ΕΡΓΟΥ -ΕΙΔΙΚΟΙ ΟΡΟΙ </w:t>
      </w:r>
    </w:p>
    <w:p w:rsidR="00BC6F9D" w:rsidRPr="008614F7" w:rsidRDefault="00BC6F9D" w:rsidP="00BC6F9D">
      <w:pPr>
        <w:autoSpaceDE w:val="0"/>
        <w:autoSpaceDN w:val="0"/>
        <w:adjustRightInd w:val="0"/>
        <w:spacing w:line="360" w:lineRule="auto"/>
        <w:jc w:val="both"/>
        <w:rPr>
          <w:rFonts w:asciiTheme="majorHAnsi" w:hAnsiTheme="majorHAnsi"/>
          <w:b/>
          <w:bCs/>
          <w:sz w:val="20"/>
          <w:szCs w:val="20"/>
        </w:rPr>
      </w:pPr>
      <w:r w:rsidRPr="008614F7">
        <w:rPr>
          <w:rFonts w:asciiTheme="majorHAnsi" w:hAnsiTheme="majorHAnsi"/>
          <w:b/>
          <w:bCs/>
          <w:sz w:val="20"/>
          <w:szCs w:val="20"/>
          <w:highlight w:val="lightGray"/>
        </w:rPr>
        <w:t>ΜΕΡΟΣ Α΄: ΓΕΝΙΚΟΙ ΟΡΟΙ</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1</w:t>
      </w:r>
      <w:r w:rsidRPr="008614F7">
        <w:rPr>
          <w:rFonts w:asciiTheme="majorHAnsi" w:hAnsiTheme="majorHAnsi"/>
          <w:b/>
          <w:sz w:val="20"/>
          <w:szCs w:val="20"/>
        </w:rPr>
        <w:t>.Αντικείμενο προμήθειας</w:t>
      </w:r>
      <w:r w:rsidRPr="008614F7">
        <w:rPr>
          <w:rFonts w:asciiTheme="majorHAnsi" w:hAnsiTheme="majorHAnsi"/>
          <w:sz w:val="20"/>
          <w:szCs w:val="20"/>
        </w:rPr>
        <w:t>.</w:t>
      </w:r>
    </w:p>
    <w:p w:rsidR="00BC6F9D" w:rsidRPr="008614F7" w:rsidRDefault="00BC6F9D" w:rsidP="00BC6F9D">
      <w:pPr>
        <w:pStyle w:val="aff2"/>
        <w:numPr>
          <w:ilvl w:val="1"/>
          <w:numId w:val="35"/>
        </w:numPr>
        <w:tabs>
          <w:tab w:val="left" w:pos="360"/>
        </w:tabs>
        <w:spacing w:after="0"/>
        <w:ind w:right="618"/>
        <w:jc w:val="both"/>
        <w:rPr>
          <w:rFonts w:asciiTheme="majorHAnsi" w:hAnsiTheme="majorHAnsi"/>
          <w:sz w:val="20"/>
          <w:szCs w:val="20"/>
        </w:rPr>
      </w:pPr>
      <w:r w:rsidRPr="008614F7">
        <w:rPr>
          <w:rFonts w:asciiTheme="majorHAnsi" w:hAnsiTheme="majorHAnsi"/>
          <w:sz w:val="20"/>
          <w:szCs w:val="20"/>
        </w:rPr>
        <w:t>Η παρούσα τεχνική προδιαγραφή αφορά την ανάδειξη προμηθευτών για την προμήθεια από το ελεύθερο εμπόριο των υλικών (αντιδραστήρια – αναλυτές), που απαιτούνται  για την διενέργεια των εξετάσεων που αναγράφονται στο Μέρος Γ΄</w:t>
      </w:r>
      <w:r w:rsidRPr="008614F7">
        <w:rPr>
          <w:rFonts w:asciiTheme="majorHAnsi" w:hAnsiTheme="majorHAnsi"/>
          <w:color w:val="FF0000"/>
          <w:sz w:val="20"/>
          <w:szCs w:val="20"/>
        </w:rPr>
        <w:t xml:space="preserve"> </w:t>
      </w:r>
      <w:r w:rsidRPr="008614F7">
        <w:rPr>
          <w:rFonts w:asciiTheme="majorHAnsi" w:hAnsiTheme="majorHAnsi"/>
          <w:sz w:val="20"/>
          <w:szCs w:val="20"/>
        </w:rPr>
        <w:t>προς κάλυψη των αναγκών του Νοσοκομείου</w:t>
      </w:r>
      <w:r w:rsidRPr="008614F7">
        <w:rPr>
          <w:rFonts w:asciiTheme="majorHAnsi" w:hAnsiTheme="majorHAnsi"/>
          <w:color w:val="FF0000"/>
          <w:sz w:val="20"/>
          <w:szCs w:val="20"/>
        </w:rPr>
        <w:t xml:space="preserve">  </w:t>
      </w:r>
      <w:r w:rsidRPr="008614F7">
        <w:rPr>
          <w:rFonts w:asciiTheme="majorHAnsi" w:hAnsiTheme="majorHAnsi"/>
          <w:sz w:val="20"/>
          <w:szCs w:val="20"/>
        </w:rPr>
        <w:t xml:space="preserve">για χρονικό διάστημα </w:t>
      </w:r>
      <w:r>
        <w:rPr>
          <w:rFonts w:asciiTheme="majorHAnsi" w:hAnsiTheme="majorHAnsi"/>
          <w:sz w:val="20"/>
          <w:szCs w:val="20"/>
        </w:rPr>
        <w:t>9 μηνών</w:t>
      </w:r>
      <w:r w:rsidRPr="008614F7">
        <w:rPr>
          <w:rFonts w:asciiTheme="majorHAnsi" w:hAnsiTheme="majorHAnsi"/>
          <w:sz w:val="20"/>
          <w:szCs w:val="20"/>
        </w:rPr>
        <w:t xml:space="preserve"> καθώς και τις απαιτήσεις, τον τρόπο ελέγχου και παραλαβής αυτών.</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 xml:space="preserve">2. </w:t>
      </w:r>
      <w:r w:rsidRPr="008614F7">
        <w:rPr>
          <w:rFonts w:asciiTheme="majorHAnsi" w:hAnsiTheme="majorHAnsi"/>
          <w:b/>
          <w:sz w:val="20"/>
          <w:szCs w:val="20"/>
        </w:rPr>
        <w:t>Όροι  διεξαγωγής του διαγωνισμού</w:t>
      </w:r>
      <w:r w:rsidRPr="008614F7">
        <w:rPr>
          <w:rFonts w:asciiTheme="majorHAnsi" w:hAnsiTheme="majorHAnsi"/>
          <w:sz w:val="20"/>
          <w:szCs w:val="20"/>
        </w:rPr>
        <w:t>.</w:t>
      </w:r>
    </w:p>
    <w:p w:rsidR="00BC6F9D" w:rsidRPr="008614F7" w:rsidRDefault="00BC6F9D" w:rsidP="00BC6F9D">
      <w:pPr>
        <w:pStyle w:val="aff2"/>
        <w:numPr>
          <w:ilvl w:val="1"/>
          <w:numId w:val="36"/>
        </w:numPr>
        <w:tabs>
          <w:tab w:val="left" w:pos="360"/>
        </w:tabs>
        <w:spacing w:after="0"/>
        <w:ind w:right="618"/>
        <w:jc w:val="both"/>
        <w:rPr>
          <w:rFonts w:asciiTheme="majorHAnsi" w:hAnsiTheme="majorHAnsi"/>
          <w:sz w:val="20"/>
          <w:szCs w:val="20"/>
        </w:rPr>
      </w:pPr>
      <w:r w:rsidRPr="008614F7">
        <w:rPr>
          <w:rFonts w:asciiTheme="majorHAnsi" w:hAnsiTheme="majorHAnsi"/>
          <w:sz w:val="20"/>
          <w:szCs w:val="20"/>
        </w:rPr>
        <w:t>Δείγματα.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Κατά το στάδιο της αξιολόγησης , οι προμηθευτές θα πρέπει να έχουν τη δυνατότητα επίδειξης διενέργειας των εξετάσεων με τα προσφερόμενα υλικά και αναλυτές , εφόσον τους ζητηθεί από την επιτροπή αξιολόγησης.</w:t>
      </w:r>
    </w:p>
    <w:p w:rsidR="00BC6F9D" w:rsidRPr="008614F7" w:rsidRDefault="00BC6F9D" w:rsidP="00BC6F9D">
      <w:pPr>
        <w:pStyle w:val="aff2"/>
        <w:numPr>
          <w:ilvl w:val="1"/>
          <w:numId w:val="36"/>
        </w:numPr>
        <w:tabs>
          <w:tab w:val="left" w:pos="360"/>
        </w:tabs>
        <w:spacing w:after="0"/>
        <w:ind w:right="618"/>
        <w:jc w:val="both"/>
        <w:rPr>
          <w:rFonts w:asciiTheme="majorHAnsi" w:hAnsiTheme="majorHAnsi"/>
          <w:sz w:val="20"/>
          <w:szCs w:val="20"/>
        </w:rPr>
      </w:pPr>
      <w:r w:rsidRPr="008614F7">
        <w:rPr>
          <w:rFonts w:asciiTheme="majorHAnsi" w:hAnsiTheme="majorHAnsi"/>
          <w:sz w:val="20"/>
          <w:szCs w:val="20"/>
        </w:rPr>
        <w:t>Οι προμηθευτές υποχρεούνται να δηλώσουν: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α. Χώρα προέλευσης των υλικών.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β. Εργοστάσιο κατασκευής.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γ. Χρόνο παράδοσης σε ημερολογιακές ημέρες από την παραγγελία.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δ. Χρόνο ζωής ( ημερομηνία παραγωγής και λήξεως).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ε. Τη συσκευασία του υλικού, η οποία πρέπει να είναι από το εργοστασίου κατασκευής.</w:t>
      </w:r>
    </w:p>
    <w:p w:rsidR="00BC6F9D" w:rsidRPr="008614F7" w:rsidRDefault="00BC6F9D" w:rsidP="00BC6F9D">
      <w:pPr>
        <w:pStyle w:val="aff2"/>
        <w:numPr>
          <w:ilvl w:val="1"/>
          <w:numId w:val="36"/>
        </w:numPr>
        <w:tabs>
          <w:tab w:val="left" w:pos="360"/>
        </w:tabs>
        <w:spacing w:after="0"/>
        <w:ind w:right="618"/>
        <w:jc w:val="both"/>
        <w:rPr>
          <w:rFonts w:asciiTheme="majorHAnsi" w:hAnsiTheme="majorHAnsi"/>
          <w:sz w:val="20"/>
          <w:szCs w:val="20"/>
        </w:rPr>
      </w:pPr>
      <w:r w:rsidRPr="008614F7">
        <w:rPr>
          <w:rFonts w:asciiTheme="majorHAnsi" w:hAnsiTheme="majorHAnsi"/>
          <w:sz w:val="20"/>
          <w:szCs w:val="20"/>
        </w:rPr>
        <w:t xml:space="preserve">Ο συμμετέχων στο διαγωνισμό πρέπει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8614F7">
        <w:rPr>
          <w:rFonts w:asciiTheme="majorHAnsi" w:hAnsiTheme="majorHAnsi"/>
          <w:sz w:val="20"/>
          <w:szCs w:val="20"/>
          <w:lang w:val="en-US"/>
        </w:rPr>
        <w:t>in</w:t>
      </w:r>
      <w:r w:rsidRPr="008614F7">
        <w:rPr>
          <w:rFonts w:asciiTheme="majorHAnsi" w:hAnsiTheme="majorHAnsi"/>
          <w:sz w:val="20"/>
          <w:szCs w:val="20"/>
        </w:rPr>
        <w:t xml:space="preserve"> </w:t>
      </w:r>
      <w:r w:rsidRPr="008614F7">
        <w:rPr>
          <w:rFonts w:asciiTheme="majorHAnsi" w:hAnsiTheme="majorHAnsi"/>
          <w:sz w:val="20"/>
          <w:szCs w:val="20"/>
          <w:lang w:val="en-US"/>
        </w:rPr>
        <w:t>vitro</w:t>
      </w:r>
      <w:r w:rsidRPr="008614F7">
        <w:rPr>
          <w:rFonts w:asciiTheme="majorHAnsi" w:hAnsiTheme="majorHAnsi"/>
          <w:sz w:val="20"/>
          <w:szCs w:val="20"/>
        </w:rPr>
        <w:t xml:space="preserve"> αντιδραστηρίων.</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b/>
          <w:sz w:val="20"/>
          <w:szCs w:val="20"/>
        </w:rPr>
        <w:t xml:space="preserve">3. Παράδοση- Παραλαβή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3.1 Η παράδοση των υλικών θα γίνεται τμηματικά εντός 7 ημερών από την διαβίβαση της παραγγελίας , από το φαρμακείο του Νοσοκομείου.</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3.2 Σαν τόπος παράδοσης των υλικών ορίζονται οι αποθήκες του φαρμακείου του Νοσοκομείου , με βάση την ισχύουσα σε αυτό διαδικασία.</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b/>
          <w:sz w:val="20"/>
          <w:szCs w:val="20"/>
        </w:rPr>
        <w:t>4.Τεχνικοί Προσδιορισμοί.</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4.1. Ο διαγωνισμός θα γίνει με βάση τις τεχνικές περιγραφές των υλικών που αναφέρονται στο μέρος Β΄.</w:t>
      </w:r>
    </w:p>
    <w:p w:rsidR="00BC6F9D" w:rsidRPr="008614F7" w:rsidRDefault="00BC6F9D" w:rsidP="00BC6F9D">
      <w:pPr>
        <w:pStyle w:val="aff2"/>
        <w:numPr>
          <w:ilvl w:val="1"/>
          <w:numId w:val="37"/>
        </w:numPr>
        <w:tabs>
          <w:tab w:val="left" w:pos="360"/>
        </w:tabs>
        <w:spacing w:after="0"/>
        <w:ind w:right="618"/>
        <w:jc w:val="both"/>
        <w:rPr>
          <w:rFonts w:asciiTheme="majorHAnsi" w:hAnsiTheme="majorHAnsi"/>
          <w:sz w:val="20"/>
          <w:szCs w:val="20"/>
        </w:rPr>
      </w:pPr>
      <w:r w:rsidRPr="008614F7">
        <w:rPr>
          <w:rFonts w:asciiTheme="majorHAnsi" w:hAnsiTheme="majorHAnsi"/>
          <w:sz w:val="20"/>
          <w:szCs w:val="20"/>
        </w:rPr>
        <w:t>Οι μειοδότες πρέπει να αναγράφουν στις προσφορές τους (οικονομική και τεχνική) , ότι το είδος που προσφέρουν εκπληρώνει τις παραπάνω τεχνικές περιγραφές της Υπηρεσίας.</w:t>
      </w:r>
    </w:p>
    <w:p w:rsidR="00BC6F9D" w:rsidRPr="008614F7" w:rsidRDefault="00BC6F9D" w:rsidP="00BC6F9D">
      <w:pPr>
        <w:pStyle w:val="aff2"/>
        <w:numPr>
          <w:ilvl w:val="1"/>
          <w:numId w:val="37"/>
        </w:numPr>
        <w:tabs>
          <w:tab w:val="left" w:pos="360"/>
        </w:tabs>
        <w:spacing w:after="0"/>
        <w:ind w:right="618"/>
        <w:jc w:val="both"/>
        <w:rPr>
          <w:rFonts w:asciiTheme="majorHAnsi" w:hAnsiTheme="majorHAnsi"/>
          <w:b/>
          <w:sz w:val="20"/>
          <w:szCs w:val="20"/>
        </w:rPr>
      </w:pPr>
      <w:r w:rsidRPr="008614F7">
        <w:rPr>
          <w:rFonts w:asciiTheme="majorHAnsi" w:hAnsiTheme="majorHAnsi"/>
          <w:sz w:val="20"/>
          <w:szCs w:val="20"/>
        </w:rPr>
        <w:t>Στην περίπτωση που το προσφερόμενο υλικό παρουσιάζει αποκλίσεις ή διαφοροποιήσεις από αυτά που καθορίζονται από τις τεχνικές προδιαγραφές της διακήρυξης οι προσφορές δεν θα απορρίπτονται υπό την προϋπόθεση ότι οι αποκλίσεις   αυτές δεν αναφέρονται στους απαράβατους όρους και κρίνονται από την επιτροπή επουσιώδεις . Για το λόγο αυτό πρέπει να αναφέρονται ΑΠΑΡΑΙΤΗΤΑ με λεπτομέρειες για να αξιολογηθούν από την αρμόδια επιτροπή.</w:t>
      </w:r>
    </w:p>
    <w:p w:rsidR="00BC6F9D" w:rsidRPr="008614F7" w:rsidRDefault="00BC6F9D" w:rsidP="00BC6F9D">
      <w:pPr>
        <w:pStyle w:val="aff2"/>
        <w:ind w:right="618"/>
        <w:jc w:val="both"/>
        <w:rPr>
          <w:rFonts w:asciiTheme="majorHAnsi" w:hAnsiTheme="majorHAnsi"/>
          <w:b/>
          <w:sz w:val="20"/>
          <w:szCs w:val="20"/>
        </w:rPr>
      </w:pP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b/>
          <w:sz w:val="20"/>
          <w:szCs w:val="20"/>
        </w:rPr>
        <w:t>5.Συσκευασ</w:t>
      </w:r>
      <w:r w:rsidRPr="008614F7">
        <w:rPr>
          <w:rFonts w:asciiTheme="majorHAnsi" w:hAnsiTheme="majorHAnsi"/>
          <w:sz w:val="20"/>
          <w:szCs w:val="20"/>
        </w:rPr>
        <w:t>ί</w:t>
      </w:r>
      <w:r w:rsidRPr="008614F7">
        <w:rPr>
          <w:rFonts w:asciiTheme="majorHAnsi" w:hAnsiTheme="majorHAnsi"/>
          <w:b/>
          <w:sz w:val="20"/>
          <w:szCs w:val="20"/>
        </w:rPr>
        <w:t>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5.1 Η συσκευασία θα είναι όπως αυτή του εργοστασίου παραγωγής , χωρίς άλλη χρηματική επιβάρυνση των σχετικών υλικών συσκευασίας που δεν  επιστρέφονται στον προμηθευτή.</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 Σε εμφανές σημείο της συσκευασίας ,  καθώς και σε κάθε μονάδα του περιεχομένου της πρέπει να αναγράφονται οι παρακάτω  ΕΝΔΕΙΞΕΙΣ:  στα Ελληνικά ή Αγγλικά.</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5.2.1 Επωνυμία και διεύθυνση κατασκευαστή .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lastRenderedPageBreak/>
        <w:t>5.2.2. 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5.2.3. Κατά περίπτωση την ένδειξη «στείρο» ή άλλη ένδειξη , με την οποία επισημαίνεται η ειδική μικροβιολογική κατάσταση ή κατάσταση από πλευράς καθαρότητας.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5.2.4. Τον κωδικό της παρτίδας , μετά από τη λέξη παρτίδα ή τον αύξοντα αριθμό.</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5.2.5. Η ημερομηνία, μέχρι την  οποία το προϊόν μπορεί να χρησιμοποιηθεί  ασφαλώς, χωρίς υποβιβασμό της επίδοσης.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 xml:space="preserve">5.2.6. Κατά περίπτωση ένδειξη ,με την οποία θα επισημαίνεται ότι πρόκειται για « προϊόν που χρησιμοποιείται </w:t>
      </w:r>
      <w:r w:rsidRPr="008614F7">
        <w:rPr>
          <w:rFonts w:asciiTheme="majorHAnsi" w:hAnsiTheme="majorHAnsi"/>
          <w:sz w:val="20"/>
          <w:szCs w:val="20"/>
          <w:lang w:val="en-US"/>
        </w:rPr>
        <w:t>in</w:t>
      </w:r>
      <w:r w:rsidRPr="008614F7">
        <w:rPr>
          <w:rFonts w:asciiTheme="majorHAnsi" w:hAnsiTheme="majorHAnsi"/>
          <w:sz w:val="20"/>
          <w:szCs w:val="20"/>
        </w:rPr>
        <w:t xml:space="preserve"> </w:t>
      </w:r>
      <w:r w:rsidRPr="008614F7">
        <w:rPr>
          <w:rFonts w:asciiTheme="majorHAnsi" w:hAnsiTheme="majorHAnsi"/>
          <w:sz w:val="20"/>
          <w:szCs w:val="20"/>
          <w:lang w:val="en-US"/>
        </w:rPr>
        <w:t>vitro</w:t>
      </w:r>
      <w:r w:rsidRPr="008614F7">
        <w:rPr>
          <w:rFonts w:asciiTheme="majorHAnsi" w:hAnsiTheme="majorHAnsi"/>
          <w:sz w:val="20"/>
          <w:szCs w:val="20"/>
        </w:rPr>
        <w:t>» ή « μόνο για την αξιολόγηση επιδόσεων».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5.2.7 Τις ειδικές συνθήκες αποθήκευσης ή και χειρισμού.</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5.2.8. Τις ενδεδειγμένες προειδοποιήσεις ή και προφυλάξεις.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5.2.9. Σε κάθε συσκευασία θα πρέπει να περιλαμβάνονται ΟΔΗΓΙΕΣ ΧΡΗΣΕΩΣ  στα Ελληνικά ή Αγγλικά ως εξής: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α. Τα στοιχεία της ετικέτας , πλην των 5.2.4. και 5.2.5.</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8614F7">
        <w:rPr>
          <w:rFonts w:asciiTheme="majorHAnsi" w:hAnsiTheme="majorHAnsi"/>
          <w:sz w:val="20"/>
          <w:szCs w:val="20"/>
          <w:lang w:val="en-US"/>
        </w:rPr>
        <w:t>kit</w:t>
      </w:r>
      <w:r w:rsidRPr="008614F7">
        <w:rPr>
          <w:rFonts w:asciiTheme="majorHAnsi" w:hAnsiTheme="majorHAnsi"/>
          <w:sz w:val="20"/>
          <w:szCs w:val="20"/>
        </w:rPr>
        <w:t>).</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γ. Δήλωση ότι το διαγνωστικό προϊόν περιέχει  όλα τα συστατικά που απαιτούνται για τη μέτρηση.</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δ. Τις συνθήκες αποθήκευσης και το χρόνο διατήρησης μετά από την πρώτη αποσφράγιση της πρωτοταγούς συσκευασίας , καθώς και τις συνθήκες αποθήκευσης και σταθερότητας των αντιδραστηρίων εργασίας.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ε. Τις επιδόσεις του προϊόντος αναφορικά με την αναλυτική ευαισθησία, την εξειδίκευση , την ακρίβεια, την επαναληψιμότητα, την αναπαραγωγιμότητα, τα όρια ανίχνευσης και τις γνωστές αλληλεπιδράσεις.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ζ. Τον τύπο του δείγματος που πρέπει να χρησιμοποιείται , τις τυχόν ειδικές συνθήκες συλλογής , προεπεξεργασίας και , κατά περίπτωση , τις συνθήκες αποθήκευσης και οδηγίες για την προετοιμασία του ασθενούς.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η. λεπτομερής περιγραφή της ακολουθητέας διαδικασίας για τη χρήση του προϊόντος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θ. Τη διαδικασία μετρήσεως που πρέπει να ακολουθείται με το διαγνωστικό προϊόν, συμπεριλαμβανομένων κατά περίπτωση:</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Της αρχής της μεθόδου .</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Των ειδικών αναλυτικών χαρακτηριστικών επιδόσεως ( ευαισθησία, εξειδίκευση, ακρίβεια , επαναληψιμότητα , αναπαραγωγιμότητα , όρια ανίχνευσης , φάσμα μετρήσεων,  πληροφορίες που απαιτούνται για τον έλεγχο των  γνωστών σχετικών παρεμβολών) , των περιορισμών της μεθόδου και των πληροφοριών , όσον αφορά τη χρησιμοποίηση , εκ μέρους του χρήστη , των διαδικασιών και υλικών μετρήσεων αναφοράς.</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Των πληροφοριών , που αφορούν κάθε επιπλέον διαδικασία ή χειρισμό , ο οποίος απαιτείται ,πριν από τη χρησιμοποίηση του διαγνωστικού προϊόντος   (π.χ. ανασύσταση , επώαση , έλεγχος οργάνων  κ.α )</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Ενδείξεων για το κατά πόσον απαιτείται ειδική εκπαίδευση των χρηστών.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ια. Τα μέτρα που πρέπει να λαμβάνονται , σε περίπτωση αλλαγών στις αναλυτικές επιδόσεις του προϊόντος.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ιβ. Τις κατάλληλες για τους χρήστες πληροφορίες , σχετικά με:</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Τον εσωτερικό έλεγχο ποιότητας , συμπεριλαμβανομένων και των διαδικασιών επικύρωσης.</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Αναφορά στον τρόπο βαθμονόμησης του προϊόντος.</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Τα μεσοδιαστήματα αναφοράς για τις προσδιοριζόμενες ποσότητες. Αν το προϊόν πρέπει να χρησιμοποιείται σε συνδυασμό ή να εγκαθίσταται ή να συνδέεται με άλλα ιατροτεχνολογικά προϊόντα ή εξοπλισμό , προκειμένου να λειτουργήσει , σύμφωνα με τον προορισμό του , επαρκή στοιχεία για τα χαρακτηριστικά του, ώστε να είναι δυνατή η επιλογή των ενδεδειγμένων προϊόντων ή εξοπλισμού που πρέπει να χρησιμοποιούνται , προκειμένου να επιτυγχάνεται ασφαλής και κατάλληλος συνδυασμός.</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 xml:space="preserve">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w:t>
      </w:r>
      <w:r w:rsidRPr="008614F7">
        <w:rPr>
          <w:rFonts w:asciiTheme="majorHAnsi" w:hAnsiTheme="majorHAnsi"/>
          <w:sz w:val="20"/>
          <w:szCs w:val="20"/>
        </w:rPr>
        <w:lastRenderedPageBreak/>
        <w:t>συχνότητα της συντήρησης και της βαθμονόμησης που απαιτούνται για να εξασφαλίζεται η ορθή και ασφαλής λειτουργία του προϊόντος .</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Πληροφορίες για την διάθεση των αποβλήτων.</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Πληροφορίες σχετικά με κάθε πρόσθετη επεξεργασία ή χειρισμό που απαιτείται , προτού χρησιμοποιηθεί το προϊόν ( π.χ. αποστείρωση , τελική συναρμολόγηση κ.α.)</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Τις απαραίτητες οδηγίες για το ενδεχόμενο φθοράς της προστατευτικής συσκευασίας.</w:t>
      </w:r>
    </w:p>
    <w:p w:rsidR="00BC6F9D" w:rsidRPr="008614F7" w:rsidRDefault="00BC6F9D" w:rsidP="00BC6F9D">
      <w:pPr>
        <w:pStyle w:val="aff2"/>
        <w:numPr>
          <w:ilvl w:val="0"/>
          <w:numId w:val="38"/>
        </w:numPr>
        <w:spacing w:after="0"/>
        <w:ind w:right="618"/>
        <w:jc w:val="both"/>
        <w:rPr>
          <w:rFonts w:asciiTheme="majorHAnsi" w:hAnsiTheme="majorHAnsi"/>
          <w:sz w:val="20"/>
          <w:szCs w:val="20"/>
        </w:rPr>
      </w:pPr>
      <w:r w:rsidRPr="008614F7">
        <w:rPr>
          <w:rFonts w:asciiTheme="majorHAnsi" w:hAnsiTheme="majorHAnsi"/>
          <w:sz w:val="20"/>
          <w:szCs w:val="20"/>
        </w:rPr>
        <w:t>Λεπτομερή στοιχεία για τις κατάλληλες μεθόδους επαναποστείρωσης ή απολύμανσης.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 συμπεριλαμβανομένων των ειδικών μέτρων προστασίας , αν το διαγνωστικό προϊόν περιέχει ουσίες ανθρώπινης ή  ζωϊκής προέλευσης , πρέπει να εφιστάται η προσοχή των χρηστών στη δυνητική μολυσματική φύση της.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ιδ. Την ημερομηνία εκδόσεως ή της πλέον πρόσφατης αναθεώρησης των οδηγιών χρήσεως.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5.2.10 . Μετά την κατακύρωση, ο μειοδότης υποχρεούται να επισημαίνει επιπλέον κάθε μονάδα συσκευασίας των υλικών που παραδίδονται με:</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α. Τα στοιχεία του προμηθευτή.</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β. Αριθμό σύμβασης.</w:t>
      </w: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b/>
          <w:sz w:val="20"/>
          <w:szCs w:val="20"/>
        </w:rPr>
        <w:t xml:space="preserve">6.   Άλλοι Ειδικοί όροι.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6.1. Το Νοσοκομείο δεν θα δεχθεί ουδεμία διαφοροποίηση ,στις τιμές ανά εξέταση, που θα κατακυρωθούν  , για ολόκληρο το χρονικό διάστημα της σύμβασης και για οποιαδήποτε αιτία.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6.2. Δήλωση του συμμετέχοντος ότι μπορεί να λάβει όλα τα αναγκαία μέτρα απόσυρσης του προϊόντος από την αγορά , σε περίπτωση που η χρήση του θέτει σε κίνδυνο την υγεία ή την ασφάλεια των ασθενών, των χρηστών ή ενδεχομένως , άλλων προσώπων , καθώς και την ασφάλεια πραγμάτων.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6.3 Ο  ετήσιος αριθμός των εκτελουμένων εξετάσεων φαίνεται στο μέρος Γ΄.</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6.4 Ο αναλυτής που θα πρέπει να διαθέσει στο Νοσοκομείο (ΟΜΑΔΑ 1 ΕΞΕΤΑΣΕΩΝ ΤΟΥ ΜΕΡΟΥΣ Γ΄) ο προμηθευτής πρέπει να ανταποκρίνεται στις ανάγκες του νοσοκομείου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 xml:space="preserve">6.5. Η διάρκεια της σύμβασης θα ορισθεί για </w:t>
      </w:r>
      <w:r>
        <w:rPr>
          <w:rFonts w:asciiTheme="majorHAnsi" w:hAnsiTheme="majorHAnsi"/>
          <w:sz w:val="20"/>
          <w:szCs w:val="20"/>
        </w:rPr>
        <w:t>εννέα μήνες</w:t>
      </w:r>
      <w:r w:rsidRPr="008614F7">
        <w:rPr>
          <w:rFonts w:asciiTheme="majorHAnsi" w:hAnsiTheme="majorHAnsi"/>
          <w:sz w:val="20"/>
          <w:szCs w:val="20"/>
        </w:rPr>
        <w:t xml:space="preserve"> με δικαίωμα παράτασης </w:t>
      </w:r>
      <w:r>
        <w:rPr>
          <w:rFonts w:asciiTheme="majorHAnsi" w:hAnsiTheme="majorHAnsi"/>
          <w:sz w:val="20"/>
          <w:szCs w:val="20"/>
        </w:rPr>
        <w:t xml:space="preserve">για τρεις μήνες </w:t>
      </w:r>
      <w:r w:rsidRPr="008614F7">
        <w:rPr>
          <w:rFonts w:asciiTheme="majorHAnsi" w:hAnsiTheme="majorHAnsi"/>
          <w:sz w:val="20"/>
          <w:szCs w:val="20"/>
        </w:rPr>
        <w:t>με τους ίδιους όρου</w:t>
      </w:r>
      <w:r>
        <w:rPr>
          <w:rFonts w:asciiTheme="majorHAnsi" w:hAnsiTheme="majorHAnsi"/>
          <w:sz w:val="20"/>
          <w:szCs w:val="20"/>
        </w:rPr>
        <w:t>ς και τις τιμές της κατακύρωσης με μονομερές δικαίωμα του Νοσοκομείου.</w:t>
      </w:r>
      <w:r w:rsidRPr="008614F7">
        <w:rPr>
          <w:rFonts w:asciiTheme="majorHAnsi" w:hAnsiTheme="majorHAnsi"/>
          <w:sz w:val="20"/>
          <w:szCs w:val="20"/>
        </w:rPr>
        <w:t xml:space="preserve">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6.6. Ειδική τριμελής Επιτροπή Ελέγχου της  Κατανάλωσης θα συσταθεί με απόφαση του Δ.Σ του Νοσοκομείου , η οποία θα αποτελείται από:</w:t>
      </w:r>
    </w:p>
    <w:p w:rsidR="00BC6F9D" w:rsidRPr="008614F7" w:rsidRDefault="00BC6F9D" w:rsidP="00BC6F9D">
      <w:pPr>
        <w:pStyle w:val="aff2"/>
        <w:numPr>
          <w:ilvl w:val="0"/>
          <w:numId w:val="39"/>
        </w:numPr>
        <w:spacing w:after="0"/>
        <w:ind w:right="618"/>
        <w:jc w:val="both"/>
        <w:rPr>
          <w:rFonts w:asciiTheme="majorHAnsi" w:hAnsiTheme="majorHAnsi"/>
          <w:sz w:val="20"/>
          <w:szCs w:val="20"/>
        </w:rPr>
      </w:pPr>
      <w:r w:rsidRPr="008614F7">
        <w:rPr>
          <w:rFonts w:asciiTheme="majorHAnsi" w:hAnsiTheme="majorHAnsi"/>
          <w:sz w:val="20"/>
          <w:szCs w:val="20"/>
        </w:rPr>
        <w:t>Ένα μέλος από το Ιατρικό ή Επιστημονικό  προσωπικό του Νοσοκομείου</w:t>
      </w:r>
    </w:p>
    <w:p w:rsidR="00BC6F9D" w:rsidRPr="008614F7" w:rsidRDefault="00BC6F9D" w:rsidP="00BC6F9D">
      <w:pPr>
        <w:pStyle w:val="aff2"/>
        <w:numPr>
          <w:ilvl w:val="0"/>
          <w:numId w:val="39"/>
        </w:numPr>
        <w:spacing w:after="0"/>
        <w:ind w:right="618"/>
        <w:jc w:val="both"/>
        <w:rPr>
          <w:rFonts w:asciiTheme="majorHAnsi" w:hAnsiTheme="majorHAnsi"/>
          <w:sz w:val="20"/>
          <w:szCs w:val="20"/>
        </w:rPr>
      </w:pPr>
      <w:r w:rsidRPr="008614F7">
        <w:rPr>
          <w:rFonts w:asciiTheme="majorHAnsi" w:hAnsiTheme="majorHAnsi"/>
          <w:sz w:val="20"/>
          <w:szCs w:val="20"/>
        </w:rPr>
        <w:t>Ένα μέλος από το  προσωπικό της διαχείρισης των υλικών αυτών ή της Βιοϊατρικής Τεχνολογίας  του Νοσοκομείου.</w:t>
      </w:r>
    </w:p>
    <w:p w:rsidR="00BC6F9D" w:rsidRPr="008614F7" w:rsidRDefault="00BC6F9D" w:rsidP="00BC6F9D">
      <w:pPr>
        <w:pStyle w:val="aff2"/>
        <w:numPr>
          <w:ilvl w:val="0"/>
          <w:numId w:val="39"/>
        </w:numPr>
        <w:spacing w:after="0"/>
        <w:ind w:right="618"/>
        <w:jc w:val="both"/>
        <w:rPr>
          <w:rFonts w:asciiTheme="majorHAnsi" w:hAnsiTheme="majorHAnsi"/>
          <w:sz w:val="20"/>
          <w:szCs w:val="20"/>
        </w:rPr>
      </w:pPr>
      <w:r w:rsidRPr="008614F7">
        <w:rPr>
          <w:rFonts w:asciiTheme="majorHAnsi" w:hAnsiTheme="majorHAnsi"/>
          <w:sz w:val="20"/>
          <w:szCs w:val="20"/>
        </w:rPr>
        <w:t>Ένα  εκπρόσωπο του προμηθευτή.</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Η επιτροπή αυτή θα συνέρχεται ανά τρίμηνο , με πρόσκληση του Νοσοκομείου και θα εξετάζει την κατανάλωση των ειδών, ανάλογα με τον όγκο των εξετάσεων που θα διενεργεί.</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 xml:space="preserve">Τυχόν διαφορές μεταξύ του προμηθευτή και του Νοσοκομείου η οποία θα προκύψει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 Τυχόν συνεχιζόμενες διαφορές επιλύονται βάσει της ισχύουσας νομοθεσίας.  </w:t>
      </w:r>
    </w:p>
    <w:p w:rsidR="00BC6F9D" w:rsidRPr="008614F7" w:rsidRDefault="00BC6F9D" w:rsidP="00BC6F9D">
      <w:pPr>
        <w:pStyle w:val="aff2"/>
        <w:ind w:right="618"/>
        <w:jc w:val="both"/>
        <w:rPr>
          <w:rFonts w:asciiTheme="majorHAnsi" w:hAnsiTheme="majorHAnsi"/>
          <w:b/>
          <w:sz w:val="20"/>
          <w:szCs w:val="20"/>
        </w:rPr>
      </w:pP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b/>
          <w:sz w:val="20"/>
          <w:szCs w:val="20"/>
        </w:rPr>
        <w:t>7. Έλεγχοι- Απόρριψη υλικών- Αντικατάσταση.</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7.1.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 αρκούντως τεκμηριωμένη.</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7.2. Σε περίπτωση που απορριφθεί από την επιτροπή παραλαβής οριστικά ολόκληρη η συμβατική ποσότητα ή μέρος αυτής, ο προμηθευτής είναι υποχρεωμένος μέσα σε προθεσμία 5 ημερών  να αντικαταστήσει την ποσότητα που απορρίφθηκε με άλλη, που καλύπτει τους όρους της σύμβασης.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7.3. Τα είδη που απορρίφθηκαν επιστρέφονται στον προμηθευτή με φροντίδα και δαπάνες του, μέσα σε 10 ημέρες από την προσκόμιση των νέων ειδών.</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lastRenderedPageBreak/>
        <w:t xml:space="preserve">7.4. Για το επί πλέον χρονικό διάστημα που απαιτείται από τη λήξη του συμβατικού χρόνου παράδοσης ή φόρτωσης, ο προμηθευτής λογίζεται εκπρόθεσμος και υπόκειται στις κυρώσεις που προβλέπονται από τον Ν. 4412/2016. </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autoSpaceDE w:val="0"/>
        <w:autoSpaceDN w:val="0"/>
        <w:adjustRightInd w:val="0"/>
        <w:spacing w:line="360" w:lineRule="auto"/>
        <w:jc w:val="both"/>
        <w:rPr>
          <w:rFonts w:asciiTheme="majorHAnsi" w:hAnsiTheme="majorHAnsi"/>
          <w:b/>
          <w:bCs/>
          <w:sz w:val="20"/>
          <w:szCs w:val="20"/>
        </w:rPr>
      </w:pPr>
      <w:r w:rsidRPr="008614F7">
        <w:rPr>
          <w:rFonts w:asciiTheme="majorHAnsi" w:hAnsiTheme="majorHAnsi"/>
          <w:b/>
          <w:bCs/>
          <w:sz w:val="20"/>
          <w:szCs w:val="20"/>
          <w:highlight w:val="lightGray"/>
        </w:rPr>
        <w:t>ΜΕΡΟΣ Β΄: ΤΕΧΝΙΚΕΣ ΠΡΟΔΙΑΓΡΑΦΕΣ ΑΝΤΙΔΡΑΣΤΗΡΊΩΝ ΑΙΜΟΔΟΣΙΑΣ (ΓΙΑ ΟΜΑΔΕΣ ΑΙΜΑΤΟΣ, ΣΥΜΒΑΤΟΤΗΤΕΣ, COOMBS Κ.Τ.Λ.) ΚΑΙ ΤΟΥ ΑΥΤΟΜΑΤΟΥ ΑΝΑΛΥΤΗ ΓΙΑ ΤΙΣ ΕΞΕΤΑΣΕΙΣ  ΑΥΤΕΣ</w:t>
      </w:r>
      <w:r w:rsidRPr="008614F7">
        <w:rPr>
          <w:rFonts w:asciiTheme="majorHAnsi" w:hAnsiTheme="majorHAnsi"/>
          <w:b/>
          <w:bCs/>
          <w:sz w:val="20"/>
          <w:szCs w:val="20"/>
        </w:rPr>
        <w:t xml:space="preserve"> </w:t>
      </w:r>
    </w:p>
    <w:p w:rsidR="00BC6F9D" w:rsidRPr="008614F7" w:rsidRDefault="00BC6F9D" w:rsidP="00BC6F9D">
      <w:pPr>
        <w:pStyle w:val="aff2"/>
        <w:ind w:right="618"/>
        <w:jc w:val="both"/>
        <w:rPr>
          <w:rFonts w:asciiTheme="majorHAnsi" w:hAnsiTheme="majorHAnsi"/>
          <w:b/>
          <w:bCs/>
          <w:sz w:val="20"/>
          <w:szCs w:val="20"/>
        </w:rPr>
      </w:pPr>
    </w:p>
    <w:p w:rsidR="00BC6F9D" w:rsidRPr="008614F7" w:rsidRDefault="00BC6F9D" w:rsidP="00BC6F9D">
      <w:pPr>
        <w:pStyle w:val="aff2"/>
        <w:numPr>
          <w:ilvl w:val="0"/>
          <w:numId w:val="40"/>
        </w:numPr>
        <w:spacing w:after="0"/>
        <w:ind w:right="618"/>
        <w:jc w:val="both"/>
        <w:rPr>
          <w:rFonts w:asciiTheme="majorHAnsi" w:hAnsiTheme="majorHAnsi"/>
          <w:b/>
          <w:sz w:val="20"/>
          <w:szCs w:val="20"/>
        </w:rPr>
      </w:pPr>
      <w:r w:rsidRPr="008614F7">
        <w:rPr>
          <w:rFonts w:asciiTheme="majorHAnsi" w:hAnsiTheme="majorHAnsi"/>
          <w:sz w:val="20"/>
          <w:szCs w:val="20"/>
        </w:rPr>
        <w:t xml:space="preserve">Η τεχνική περιγραφή αυτή καλύπτει τις απαιτήσεις και τον τρόπο ελέγχου και παραλαβής των υπό προμήθεια </w:t>
      </w:r>
      <w:r w:rsidRPr="008614F7">
        <w:rPr>
          <w:rFonts w:asciiTheme="majorHAnsi" w:hAnsiTheme="majorHAnsi"/>
          <w:sz w:val="20"/>
          <w:szCs w:val="20"/>
          <w:u w:val="single"/>
        </w:rPr>
        <w:t>αντιδραστηρίων</w:t>
      </w:r>
      <w:r w:rsidRPr="008614F7">
        <w:rPr>
          <w:rFonts w:asciiTheme="majorHAnsi" w:hAnsiTheme="majorHAnsi"/>
          <w:sz w:val="20"/>
          <w:szCs w:val="20"/>
        </w:rPr>
        <w:t xml:space="preserve"> εκτέλεσης ομάδων αίματος-συμβατοτήτων-</w:t>
      </w:r>
      <w:r w:rsidRPr="008614F7">
        <w:rPr>
          <w:rFonts w:asciiTheme="majorHAnsi" w:hAnsiTheme="majorHAnsi"/>
          <w:sz w:val="20"/>
          <w:szCs w:val="20"/>
          <w:lang w:val="en-US"/>
        </w:rPr>
        <w:t>coombs</w:t>
      </w:r>
      <w:r w:rsidRPr="008614F7">
        <w:rPr>
          <w:rFonts w:asciiTheme="majorHAnsi" w:hAnsiTheme="majorHAnsi"/>
          <w:sz w:val="20"/>
          <w:szCs w:val="20"/>
        </w:rPr>
        <w:t xml:space="preserve"> κ.λ.π. καθώς και λοιπών αντιδραστηρίων για τις ανάγκες λειτουργίας της Αιμοδοσίας του Νοσοκομείου Αγίου Νικολάου. Ως «αντιδραστήρια» φέρονται στο εξής , όλα τα βιολογικά , βιοχημικά, ανοσολογικά ή άλλα υλικά που απαιτούνται για την διενέργεια των αντίστοιχων εξετάσεων.</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b/>
          <w:bCs/>
          <w:sz w:val="20"/>
          <w:szCs w:val="20"/>
        </w:rPr>
      </w:pPr>
      <w:r w:rsidRPr="008614F7">
        <w:rPr>
          <w:rFonts w:asciiTheme="majorHAnsi" w:hAnsiTheme="majorHAnsi"/>
          <w:b/>
          <w:bCs/>
          <w:sz w:val="20"/>
          <w:szCs w:val="20"/>
        </w:rPr>
        <w:t>ΑΠΑΙΤΗΣΕΙΣ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2.1 ΓΕΝΙΚΑ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2.1.1.Οι προμηθευτές θα πρέπει να προσφέρουν κατά το δυνατό ολοκληρωμένη γκάμα  αντιδραστηρίων. Κάθε απόκλιση από αυτό θα εκτιμηθεί από την επιτροπή αξιολόγησης.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2.1.3. Με αποκλειστική ευθύνη του προμηθευτή , που αποδεικνύεται έγγραφα, θα πρέπει να εξασφαλίζεται η δυνατότητα για συνεχή και πλήρη τεχνική υποστήριξη , δηλαδή επισκευές, ανταλλακτικά και άλλα υλικά, που είναι αναγκαία για τη λειτουργία του μηχανήματος που θα διατεθεί από τον προμηθευτή για τη διενέργεια των απαιτουμένων εξετάσεων.</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b/>
          <w:sz w:val="20"/>
          <w:szCs w:val="20"/>
        </w:rPr>
        <w:t>2.2. ΛΕΙΤΟΥΡΓΙΚΑ- ΦΥΣΙΚΑ ΧΑΡΑΚΤΗΡΙΣΤΙΚΑ ΚΑΙ ΙΔΙΟΤΗΤΕΣ</w:t>
      </w:r>
      <w:r w:rsidRPr="008614F7">
        <w:rPr>
          <w:rFonts w:asciiTheme="majorHAnsi" w:hAnsiTheme="majorHAnsi"/>
          <w:sz w:val="20"/>
          <w:szCs w:val="20"/>
        </w:rPr>
        <w:t>.</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 ΒΙΟΛΟΓΙΚΑ ΚΑΙ ΒΙΟΧΗΜΙΚΑ ΑΝΤΙΔΡΑΣΤΗΡΙΑ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2.2.1.2. Τα υπό προμήθεια αντιδραστήρια θα πρέπει να πληρούν τους παρακάτω όρους: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2.2.1.3. Να ανταποκρίνονται πλήρως στις ανάγκες της Υπηρεσίας για την χρήση τους όπου τούτο αναφέρεται σε αναλυτές .</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2.2.1.4.Να συνοδεύονται  από σαφείς οδηγίες χρήσεως. σύμφωνα με την παρ. 5.2.9. του μέρους Α.</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2.2.1.5.Να έχουν τον κατά το δυνατόν μακρότερο χρόνο λήξεως.</w:t>
      </w:r>
    </w:p>
    <w:p w:rsidR="00BC6F9D" w:rsidRPr="008614F7" w:rsidRDefault="00BC6F9D" w:rsidP="00BC6F9D">
      <w:pPr>
        <w:pStyle w:val="aff2"/>
        <w:ind w:right="618"/>
        <w:jc w:val="both"/>
        <w:rPr>
          <w:rFonts w:asciiTheme="majorHAnsi" w:hAnsiTheme="majorHAnsi"/>
          <w:color w:val="FF0000"/>
          <w:sz w:val="20"/>
          <w:szCs w:val="20"/>
        </w:rPr>
      </w:pPr>
      <w:r w:rsidRPr="008614F7">
        <w:rPr>
          <w:rFonts w:asciiTheme="majorHAnsi" w:hAnsiTheme="majorHAnsi"/>
          <w:sz w:val="20"/>
          <w:szCs w:val="20"/>
        </w:rPr>
        <w:t>2.2.1.6. Να συνοδεύονται υποχρεωτικά από πιστοποιητικά ποιοτικού ελέγχου.</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2.2.1.7. Να έχουν την κατάλληλη συσκευασία σύμφωνα με την παρ. 5 του μέρους Α και σε μέγεθος που εξυπηρετεί τις ανάγκες του Νοσοκομείου.</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2.2.1.8. Ιδιαίτερες απαιτήσεις.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α. Το προϊόν θα πρέπει να είναι πρόσφατης παραγωγής και κατά την ημερομηνία παράδοσής του να μην έχουν παρέλθει τι ¼  τουλάχιστον της συνολικής διάρκειας ζωής του.</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2.2.1.9.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του Δ/ντού του Εργαστηρίου, αρκούντος τεκμηριωμένη.</w:t>
      </w:r>
    </w:p>
    <w:p w:rsidR="00BC6F9D" w:rsidRPr="008614F7" w:rsidRDefault="00BC6F9D" w:rsidP="00BC6F9D">
      <w:pPr>
        <w:pStyle w:val="aff2"/>
        <w:ind w:right="618"/>
        <w:jc w:val="both"/>
        <w:rPr>
          <w:rFonts w:asciiTheme="majorHAnsi" w:hAnsiTheme="majorHAnsi"/>
          <w:sz w:val="20"/>
          <w:szCs w:val="20"/>
        </w:rPr>
      </w:pPr>
      <w:r w:rsidRPr="008614F7">
        <w:rPr>
          <w:rFonts w:asciiTheme="majorHAnsi" w:hAnsiTheme="majorHAnsi"/>
          <w:sz w:val="20"/>
          <w:szCs w:val="20"/>
        </w:rPr>
        <w:t>2.2.1.10. Όλα τα υπό προμήθεια αντιδραστήρια θα αξιολογηθούν κατά τη διαδικασία της προμήθειας και θα ελέγχονται κατά την διαδικασία της παραλαβής .</w:t>
      </w:r>
    </w:p>
    <w:p w:rsidR="00BC6F9D" w:rsidRPr="008614F7" w:rsidRDefault="00BC6F9D" w:rsidP="00BC6F9D">
      <w:pPr>
        <w:pStyle w:val="aff2"/>
        <w:ind w:right="618"/>
        <w:jc w:val="both"/>
        <w:rPr>
          <w:rFonts w:asciiTheme="majorHAnsi" w:hAnsiTheme="majorHAnsi"/>
          <w:sz w:val="20"/>
          <w:szCs w:val="20"/>
        </w:rPr>
      </w:pPr>
    </w:p>
    <w:p w:rsidR="00BC6F9D" w:rsidRPr="008614F7" w:rsidRDefault="00BC6F9D" w:rsidP="00BC6F9D">
      <w:pPr>
        <w:pStyle w:val="aff2"/>
        <w:ind w:right="618"/>
        <w:jc w:val="both"/>
        <w:rPr>
          <w:rFonts w:asciiTheme="majorHAnsi" w:hAnsiTheme="majorHAnsi"/>
          <w:b/>
          <w:bCs/>
          <w:sz w:val="20"/>
          <w:szCs w:val="20"/>
        </w:rPr>
      </w:pPr>
      <w:r w:rsidRPr="008614F7">
        <w:rPr>
          <w:rFonts w:asciiTheme="majorHAnsi" w:hAnsiTheme="majorHAnsi"/>
          <w:b/>
          <w:bCs/>
          <w:sz w:val="20"/>
          <w:szCs w:val="20"/>
        </w:rPr>
        <w:t>2.3.ΕΙΔΙΚΕΣ ΤΕΧΝΙΚΕΣ ΠΡΟΔΙΑΓΡΑΦΕΣ ΑΝΤΙΔΡΑΣΤΗΡΙΩΝ</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Τα αντιδραστήρια για την ανίχνευση και ταυτοποίηση αντιγονικών ομάδων των ερυθροκυττάρων και για εξετάσεις συμβατότητας πρέπει να πληρούν τις παρακάτω προδιαγραφές:</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color w:val="FF0000"/>
          <w:sz w:val="20"/>
          <w:szCs w:val="20"/>
        </w:rPr>
      </w:pPr>
      <w:r w:rsidRPr="008614F7">
        <w:rPr>
          <w:rFonts w:asciiTheme="majorHAnsi" w:hAnsiTheme="majorHAnsi"/>
          <w:sz w:val="20"/>
          <w:szCs w:val="20"/>
        </w:rPr>
        <w:t>2.3.1.Να είναι άριστης ποιότητας αντιοροί , κάτι που να πιστοποιείται αφενός από την υψηλή συγγένεια και ειδικότητά τους, αφετέρου από τον τίτλο τους (</w:t>
      </w:r>
      <w:r w:rsidRPr="008614F7">
        <w:rPr>
          <w:rFonts w:asciiTheme="majorHAnsi" w:hAnsiTheme="majorHAnsi"/>
          <w:b/>
          <w:sz w:val="20"/>
          <w:szCs w:val="20"/>
        </w:rPr>
        <w:t>Να έχουν υψηλό τίτλο αντισωμάτων</w:t>
      </w:r>
      <w:r w:rsidRPr="008614F7">
        <w:rPr>
          <w:rFonts w:asciiTheme="majorHAnsi" w:hAnsiTheme="majorHAnsi"/>
          <w:sz w:val="20"/>
          <w:szCs w:val="20"/>
        </w:rPr>
        <w:t>)</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lastRenderedPageBreak/>
        <w:t xml:space="preserve">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2.3.2.Να μην προκαλούν διασταυρούμενες αντιδράσεις ή φαινόμενο προζώνης.</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2.3.3.Να έχουν υψηλή ευαισθησία ώστε να ανιχνεύονται ομάδες χαμηλής αντιγονικότητας, να είναι απαλλαγμένα από μη ειδικά αντισωμάτων ώστε να αποφεύγονται ψευδώς θετικά αποτελέσματα. Ο αντιορός anti-B να μην ανιχνεύει το επίκτητο Β.</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2.3.4.Η προκαλούμενη αντίδραση να είναι καθαρή και εμφανής ώστε να αποφεύγονται λάθη αναγνώρισης.</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2.3.5.Τα αντιδραστήρια χωρίς αραίωση να δίνουν σαφή συγκόλληση 3-4 σταυρών με εναιώρημα ερυθρών.</w:t>
      </w:r>
    </w:p>
    <w:p w:rsidR="00BC6F9D" w:rsidRPr="008614F7" w:rsidRDefault="00BC6F9D" w:rsidP="00BC6F9D">
      <w:pPr>
        <w:jc w:val="both"/>
        <w:rPr>
          <w:rFonts w:asciiTheme="majorHAnsi" w:hAnsiTheme="majorHAnsi"/>
          <w:sz w:val="20"/>
          <w:szCs w:val="20"/>
        </w:rPr>
      </w:pPr>
    </w:p>
    <w:p w:rsidR="00BC6F9D" w:rsidRPr="008614F7" w:rsidRDefault="00BC6F9D" w:rsidP="00BC6F9D">
      <w:pPr>
        <w:pStyle w:val="aff2"/>
        <w:jc w:val="both"/>
        <w:rPr>
          <w:rFonts w:asciiTheme="majorHAnsi" w:hAnsiTheme="majorHAnsi"/>
          <w:sz w:val="20"/>
          <w:szCs w:val="20"/>
        </w:rPr>
      </w:pPr>
      <w:r w:rsidRPr="008614F7">
        <w:rPr>
          <w:rFonts w:asciiTheme="majorHAnsi" w:hAnsiTheme="majorHAnsi"/>
          <w:sz w:val="20"/>
          <w:szCs w:val="20"/>
        </w:rPr>
        <w:t>2.3.6.Οι αντιορροί να είναι μονοκλωνικοί και να περιέχουν κλώνους που η ποιότητά τους να έχει επιβεβαιωθεί και να έχουν αποδεκτό ποιοτικό έλεγχο από μεγάλους οργανισμούς (</w:t>
      </w:r>
      <w:r w:rsidRPr="008614F7">
        <w:rPr>
          <w:rFonts w:asciiTheme="majorHAnsi" w:hAnsiTheme="majorHAnsi"/>
          <w:sz w:val="20"/>
          <w:szCs w:val="20"/>
          <w:lang w:val="en-US"/>
        </w:rPr>
        <w:t>FDA</w:t>
      </w:r>
      <w:r w:rsidRPr="008614F7">
        <w:rPr>
          <w:rFonts w:asciiTheme="majorHAnsi" w:hAnsiTheme="majorHAnsi"/>
          <w:sz w:val="20"/>
          <w:szCs w:val="20"/>
        </w:rPr>
        <w:t xml:space="preserve">, </w:t>
      </w:r>
      <w:r w:rsidRPr="008614F7">
        <w:rPr>
          <w:rFonts w:asciiTheme="majorHAnsi" w:hAnsiTheme="majorHAnsi"/>
          <w:sz w:val="20"/>
          <w:szCs w:val="20"/>
          <w:lang w:val="en-US"/>
        </w:rPr>
        <w:t>Paul</w:t>
      </w:r>
      <w:r w:rsidRPr="008614F7">
        <w:rPr>
          <w:rFonts w:asciiTheme="majorHAnsi" w:hAnsiTheme="majorHAnsi"/>
          <w:sz w:val="20"/>
          <w:szCs w:val="20"/>
        </w:rPr>
        <w:t xml:space="preserve"> </w:t>
      </w:r>
      <w:r w:rsidRPr="008614F7">
        <w:rPr>
          <w:rFonts w:asciiTheme="majorHAnsi" w:hAnsiTheme="majorHAnsi"/>
          <w:sz w:val="20"/>
          <w:szCs w:val="20"/>
          <w:lang w:val="en-US"/>
        </w:rPr>
        <w:t>Ehrlich</w:t>
      </w:r>
      <w:r w:rsidRPr="008614F7">
        <w:rPr>
          <w:rFonts w:asciiTheme="majorHAnsi" w:hAnsiTheme="majorHAnsi"/>
          <w:sz w:val="20"/>
          <w:szCs w:val="20"/>
        </w:rPr>
        <w:t xml:space="preserve">). Ο αντιορρός </w:t>
      </w:r>
      <w:r w:rsidRPr="008614F7">
        <w:rPr>
          <w:rFonts w:asciiTheme="majorHAnsi" w:hAnsiTheme="majorHAnsi"/>
          <w:sz w:val="20"/>
          <w:szCs w:val="20"/>
          <w:lang w:val="en-US"/>
        </w:rPr>
        <w:t>anti</w:t>
      </w:r>
      <w:r w:rsidRPr="008614F7">
        <w:rPr>
          <w:rFonts w:asciiTheme="majorHAnsi" w:hAnsiTheme="majorHAnsi"/>
          <w:sz w:val="20"/>
          <w:szCs w:val="20"/>
        </w:rPr>
        <w:t>-</w:t>
      </w:r>
      <w:r w:rsidRPr="008614F7">
        <w:rPr>
          <w:rFonts w:asciiTheme="majorHAnsi" w:hAnsiTheme="majorHAnsi"/>
          <w:sz w:val="20"/>
          <w:szCs w:val="20"/>
          <w:lang w:val="en-US"/>
        </w:rPr>
        <w:t>D</w:t>
      </w:r>
      <w:r w:rsidRPr="008614F7">
        <w:rPr>
          <w:rFonts w:asciiTheme="majorHAnsi" w:hAnsiTheme="majorHAnsi"/>
          <w:sz w:val="20"/>
          <w:szCs w:val="20"/>
        </w:rPr>
        <w:t xml:space="preserve">  να είναι μίγμα </w:t>
      </w:r>
      <w:r w:rsidRPr="008614F7">
        <w:rPr>
          <w:rFonts w:asciiTheme="majorHAnsi" w:hAnsiTheme="majorHAnsi"/>
          <w:sz w:val="20"/>
          <w:szCs w:val="20"/>
          <w:lang w:val="en-US"/>
        </w:rPr>
        <w:t>IgG</w:t>
      </w:r>
      <w:r w:rsidRPr="008614F7">
        <w:rPr>
          <w:rFonts w:asciiTheme="majorHAnsi" w:hAnsiTheme="majorHAnsi"/>
          <w:sz w:val="20"/>
          <w:szCs w:val="20"/>
        </w:rPr>
        <w:t xml:space="preserve">  και </w:t>
      </w:r>
      <w:r w:rsidRPr="008614F7">
        <w:rPr>
          <w:rFonts w:asciiTheme="majorHAnsi" w:hAnsiTheme="majorHAnsi"/>
          <w:sz w:val="20"/>
          <w:szCs w:val="20"/>
          <w:lang w:val="en-US"/>
        </w:rPr>
        <w:t>IgM</w:t>
      </w:r>
      <w:r w:rsidRPr="008614F7">
        <w:rPr>
          <w:rFonts w:asciiTheme="majorHAnsi" w:hAnsiTheme="majorHAnsi"/>
          <w:sz w:val="20"/>
          <w:szCs w:val="20"/>
        </w:rPr>
        <w:t xml:space="preserve">  ώστε να ανιχνεύονται καλύτερα οι υποομάδες </w:t>
      </w:r>
      <w:r w:rsidRPr="008614F7">
        <w:rPr>
          <w:rFonts w:asciiTheme="majorHAnsi" w:hAnsiTheme="majorHAnsi"/>
          <w:sz w:val="20"/>
          <w:szCs w:val="20"/>
          <w:lang w:val="en-US"/>
        </w:rPr>
        <w:t>D</w:t>
      </w:r>
      <w:r w:rsidRPr="008614F7">
        <w:rPr>
          <w:rFonts w:asciiTheme="majorHAnsi" w:hAnsiTheme="majorHAnsi"/>
          <w:sz w:val="20"/>
          <w:szCs w:val="20"/>
        </w:rPr>
        <w:t>.</w:t>
      </w:r>
    </w:p>
    <w:p w:rsidR="00BC6F9D" w:rsidRPr="008614F7" w:rsidRDefault="00BC6F9D" w:rsidP="00BC6F9D">
      <w:pPr>
        <w:pStyle w:val="aff2"/>
        <w:jc w:val="both"/>
        <w:rPr>
          <w:rFonts w:asciiTheme="majorHAnsi" w:hAnsiTheme="majorHAnsi"/>
          <w:sz w:val="20"/>
          <w:szCs w:val="20"/>
        </w:rPr>
      </w:pPr>
      <w:r w:rsidRPr="008614F7">
        <w:rPr>
          <w:rFonts w:asciiTheme="majorHAnsi" w:hAnsiTheme="majorHAnsi"/>
          <w:sz w:val="20"/>
          <w:szCs w:val="20"/>
        </w:rPr>
        <w:t xml:space="preserve">Τα είδη που χρησιμοποιούνται για καθορισμό ομάδων αίματος των ερυθρών, για συμβατότητες , για εξετάσεις </w:t>
      </w:r>
      <w:r w:rsidRPr="008614F7">
        <w:rPr>
          <w:rFonts w:asciiTheme="majorHAnsi" w:hAnsiTheme="majorHAnsi"/>
          <w:sz w:val="20"/>
          <w:szCs w:val="20"/>
          <w:lang w:val="en-US"/>
        </w:rPr>
        <w:t>Coombs</w:t>
      </w:r>
      <w:r w:rsidRPr="008614F7">
        <w:rPr>
          <w:rFonts w:asciiTheme="majorHAnsi" w:hAnsiTheme="majorHAnsi"/>
          <w:sz w:val="20"/>
          <w:szCs w:val="20"/>
        </w:rPr>
        <w:t>, με τεχνική σε κάρτες με στήλες να έχουν ενσωματωμένους αντιορρούς.</w:t>
      </w:r>
    </w:p>
    <w:p w:rsidR="00BC6F9D" w:rsidRPr="008614F7" w:rsidRDefault="00BC6F9D" w:rsidP="00BC6F9D">
      <w:pPr>
        <w:pStyle w:val="aff2"/>
        <w:jc w:val="both"/>
        <w:rPr>
          <w:rFonts w:asciiTheme="majorHAnsi" w:hAnsiTheme="majorHAnsi"/>
          <w:sz w:val="20"/>
          <w:szCs w:val="20"/>
        </w:rPr>
      </w:pPr>
      <w:r w:rsidRPr="008614F7">
        <w:rPr>
          <w:rFonts w:asciiTheme="majorHAnsi" w:hAnsiTheme="majorHAnsi"/>
          <w:sz w:val="20"/>
          <w:szCs w:val="20"/>
        </w:rPr>
        <w:t>2.3.7. Τα αντιδραστήρια θα πρέπει να χρησιμοποιούνται σε άλλες Αιμοδοσίες και θα πρέπει να επισυναφθεί κατάλογος Αιμοδοσιών που τα χρησιμοποιούν  (</w:t>
      </w:r>
      <w:r w:rsidRPr="008614F7">
        <w:rPr>
          <w:rFonts w:asciiTheme="majorHAnsi" w:hAnsiTheme="majorHAnsi"/>
          <w:sz w:val="20"/>
          <w:szCs w:val="20"/>
          <w:lang w:val="en-US"/>
        </w:rPr>
        <w:t>N</w:t>
      </w:r>
      <w:r w:rsidRPr="008614F7">
        <w:rPr>
          <w:rFonts w:asciiTheme="majorHAnsi" w:hAnsiTheme="majorHAnsi"/>
          <w:sz w:val="20"/>
          <w:szCs w:val="20"/>
        </w:rPr>
        <w:t>α υπάρχει πολυετής αποδεδειγμένη  εμπειρία στην Ελλάδα).</w:t>
      </w:r>
    </w:p>
    <w:p w:rsidR="00BC6F9D" w:rsidRPr="008614F7" w:rsidRDefault="00BC6F9D" w:rsidP="00BC6F9D">
      <w:pPr>
        <w:jc w:val="both"/>
        <w:rPr>
          <w:rFonts w:asciiTheme="majorHAnsi" w:hAnsiTheme="majorHAnsi"/>
          <w:color w:val="FF0000"/>
          <w:sz w:val="20"/>
          <w:szCs w:val="20"/>
        </w:rPr>
      </w:pPr>
      <w:r w:rsidRPr="008614F7">
        <w:rPr>
          <w:rFonts w:asciiTheme="majorHAnsi" w:hAnsiTheme="majorHAnsi"/>
          <w:sz w:val="20"/>
          <w:szCs w:val="20"/>
        </w:rPr>
        <w:t xml:space="preserve"> 2.3.8.Η συγκολλητική τους δράση να συμφωνεί με τα standards της Αιμοδοσίας μας και στα οποία το προσωπικό είναι εξοικειωμένο ώστε να διασφαλίζεται η ασφαλής λειτουργία της Αιμοδοσίας.</w:t>
      </w:r>
    </w:p>
    <w:p w:rsidR="00BC6F9D" w:rsidRPr="008614F7" w:rsidRDefault="00BC6F9D" w:rsidP="00BC6F9D">
      <w:pPr>
        <w:jc w:val="both"/>
        <w:rPr>
          <w:rFonts w:asciiTheme="majorHAnsi" w:hAnsiTheme="majorHAnsi"/>
          <w:color w:val="FF0000"/>
          <w:sz w:val="20"/>
          <w:szCs w:val="20"/>
        </w:rPr>
      </w:pP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2.3.9 Ο αντιανθρώπινος αντισφαιρινικος ορός (anti-Human) πρέπει να έχει ευρέως φάσματος δράση και η προσθήκη του να μην δημιουργεί αιμόλυση ή συγκόλληση μη ευαισθητοποιημένων ερυθρών αιμοσφαιρίων.</w:t>
      </w:r>
    </w:p>
    <w:p w:rsidR="00BC6F9D" w:rsidRPr="008614F7" w:rsidRDefault="00BC6F9D" w:rsidP="00BC6F9D">
      <w:pPr>
        <w:jc w:val="both"/>
        <w:rPr>
          <w:rFonts w:asciiTheme="majorHAnsi" w:hAnsiTheme="majorHAnsi"/>
          <w:b/>
          <w:bCs/>
          <w:sz w:val="20"/>
          <w:szCs w:val="20"/>
        </w:rPr>
      </w:pPr>
    </w:p>
    <w:p w:rsidR="00BC6F9D" w:rsidRPr="008614F7" w:rsidRDefault="00BC6F9D" w:rsidP="00BC6F9D">
      <w:pPr>
        <w:jc w:val="both"/>
        <w:rPr>
          <w:rFonts w:asciiTheme="majorHAnsi" w:hAnsiTheme="majorHAnsi"/>
          <w:color w:val="FF0000"/>
          <w:sz w:val="20"/>
          <w:szCs w:val="20"/>
        </w:rPr>
      </w:pPr>
      <w:r w:rsidRPr="008614F7">
        <w:rPr>
          <w:rFonts w:asciiTheme="majorHAnsi" w:hAnsiTheme="majorHAnsi"/>
          <w:sz w:val="20"/>
          <w:szCs w:val="20"/>
        </w:rPr>
        <w:t>2.3.10.Ο χρόνος ζωής να είναι μεγάλος και να μην είναι βραχύτερος του έτους από την στιγμή της παράδοσής τους.  Τα ερυθροκύτταρα να έχουν διάρκεια χρήσεως τουλάχιστον 30 ημέρων.</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color w:val="FF0000"/>
          <w:sz w:val="20"/>
          <w:szCs w:val="20"/>
        </w:rPr>
      </w:pPr>
      <w:r w:rsidRPr="008614F7">
        <w:rPr>
          <w:rFonts w:asciiTheme="majorHAnsi" w:hAnsiTheme="majorHAnsi"/>
          <w:sz w:val="20"/>
          <w:szCs w:val="20"/>
        </w:rPr>
        <w:t>2.3.11. Για τους αντιορρούς που χρησιμοποιούνται στις μεθόδους σε κάρτα με στήλες θα πρέπει να ισχύουν οι ίδιες προδιαγραφές που έχουν ήδη αναφερθεί.</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Ο προμηθευτής θα πρέπει να προσφέρει ολοκληρωμένα πακέτα εξετάσεων και κατά το δυνατόν πλήρη γκάμα αντιδραστηρίων.</w:t>
      </w:r>
    </w:p>
    <w:p w:rsidR="00BC6F9D" w:rsidRPr="008614F7" w:rsidRDefault="00BC6F9D" w:rsidP="00BC6F9D">
      <w:pPr>
        <w:pStyle w:val="2b"/>
        <w:spacing w:line="240" w:lineRule="auto"/>
        <w:rPr>
          <w:rFonts w:asciiTheme="majorHAnsi" w:hAnsiTheme="majorHAnsi"/>
          <w:b w:val="0"/>
          <w:bCs/>
        </w:rPr>
      </w:pPr>
      <w:r w:rsidRPr="008614F7">
        <w:rPr>
          <w:rFonts w:asciiTheme="majorHAnsi" w:hAnsiTheme="majorHAnsi"/>
          <w:bCs/>
        </w:rPr>
        <w:t>Τα αντιδραστήρια θα πρέπει επίσης να συμμορφώνονται με όλα τα αναφερόμενα στις γενικές προδιαγραφές.</w:t>
      </w:r>
    </w:p>
    <w:p w:rsidR="00BC6F9D" w:rsidRPr="008614F7" w:rsidRDefault="00BC6F9D" w:rsidP="00BC6F9D">
      <w:pPr>
        <w:pStyle w:val="2b"/>
        <w:rPr>
          <w:rFonts w:asciiTheme="majorHAnsi" w:hAnsiTheme="majorHAnsi" w:cs="Arial"/>
          <w:b w:val="0"/>
        </w:rPr>
      </w:pPr>
    </w:p>
    <w:p w:rsidR="00BC6F9D" w:rsidRPr="008614F7" w:rsidRDefault="00BC6F9D" w:rsidP="00BC6F9D">
      <w:pPr>
        <w:pStyle w:val="2b"/>
        <w:rPr>
          <w:rFonts w:asciiTheme="majorHAnsi" w:hAnsiTheme="majorHAnsi"/>
          <w:b w:val="0"/>
          <w:bCs/>
        </w:rPr>
      </w:pPr>
      <w:r w:rsidRPr="008614F7">
        <w:rPr>
          <w:rFonts w:asciiTheme="majorHAnsi" w:hAnsiTheme="majorHAnsi"/>
          <w:bCs/>
        </w:rPr>
        <w:t>ΠΡΟΔΙΑΓΡΑΦΕΣ  ΑΥΤΟΜΑΤΟΥ ΑΝΑΛΥΤΗ</w:t>
      </w:r>
    </w:p>
    <w:p w:rsidR="00BC6F9D" w:rsidRPr="008614F7" w:rsidRDefault="00BC6F9D" w:rsidP="00BC6F9D">
      <w:pPr>
        <w:pStyle w:val="aff2"/>
        <w:ind w:left="426" w:right="618" w:hanging="797"/>
        <w:jc w:val="both"/>
        <w:rPr>
          <w:rFonts w:asciiTheme="majorHAnsi" w:hAnsiTheme="majorHAnsi"/>
          <w:b/>
          <w:bCs/>
          <w:color w:val="FF0000"/>
          <w:sz w:val="20"/>
          <w:szCs w:val="20"/>
          <w:u w:val="single"/>
        </w:rPr>
      </w:pPr>
      <w:r w:rsidRPr="008614F7">
        <w:rPr>
          <w:rFonts w:asciiTheme="majorHAnsi" w:hAnsiTheme="majorHAnsi"/>
          <w:b/>
          <w:sz w:val="20"/>
          <w:szCs w:val="20"/>
        </w:rPr>
        <w:t xml:space="preserve">    2.4 ΠΡΟΔΙΑΓΡΑΦΕΣ ΑΥΤΟΜΑΤΟΥ </w:t>
      </w:r>
      <w:r w:rsidRPr="008614F7">
        <w:rPr>
          <w:rFonts w:asciiTheme="majorHAnsi" w:hAnsiTheme="majorHAnsi"/>
          <w:b/>
          <w:bCs/>
          <w:sz w:val="20"/>
          <w:szCs w:val="20"/>
        </w:rPr>
        <w:t xml:space="preserve">ΑΝΑΛΥΤΗ ΕΚΤΕΛΕΣΗΣ ΟΜΑΔΩΝ ΑΙΜΑΤΟΣ ΣΥΜΒΑΤΟΤΗΤΩΝ, </w:t>
      </w:r>
      <w:r w:rsidRPr="008614F7">
        <w:rPr>
          <w:rFonts w:asciiTheme="majorHAnsi" w:hAnsiTheme="majorHAnsi"/>
          <w:b/>
          <w:bCs/>
          <w:sz w:val="20"/>
          <w:szCs w:val="20"/>
          <w:lang w:val="en-US"/>
        </w:rPr>
        <w:t>COOMBS</w:t>
      </w:r>
      <w:r w:rsidRPr="008614F7">
        <w:rPr>
          <w:rFonts w:asciiTheme="majorHAnsi" w:hAnsiTheme="majorHAnsi"/>
          <w:b/>
          <w:bCs/>
          <w:sz w:val="20"/>
          <w:szCs w:val="20"/>
        </w:rPr>
        <w:t xml:space="preserve"> κλπ. ΜΕ ΜΕΘΟΔΟ ΣΥΓΚΟΛΗΣΗΣ ΣΕ ΚΑΡΤΑ ΜΕ ΣΤΗΛΕΣ  (αφορά τις εξετάσεις του τμήματος 1 του Μέρους Γ΄)</w:t>
      </w:r>
    </w:p>
    <w:p w:rsidR="00BC6F9D" w:rsidRPr="008614F7" w:rsidRDefault="00BC6F9D" w:rsidP="00BC6F9D">
      <w:pPr>
        <w:pStyle w:val="aff2"/>
        <w:ind w:left="851" w:right="618" w:hanging="1222"/>
        <w:jc w:val="both"/>
        <w:rPr>
          <w:rFonts w:asciiTheme="majorHAnsi" w:hAnsiTheme="majorHAnsi"/>
          <w:b/>
          <w:bCs/>
          <w:color w:val="FF0000"/>
          <w:sz w:val="20"/>
          <w:szCs w:val="20"/>
          <w:u w:val="single"/>
        </w:rPr>
      </w:pPr>
    </w:p>
    <w:p w:rsidR="00BC6F9D" w:rsidRPr="008614F7" w:rsidRDefault="00BC6F9D" w:rsidP="00BC6F9D">
      <w:pPr>
        <w:pStyle w:val="2b"/>
        <w:widowControl/>
        <w:numPr>
          <w:ilvl w:val="0"/>
          <w:numId w:val="41"/>
        </w:numPr>
        <w:adjustRightInd/>
        <w:spacing w:line="240" w:lineRule="auto"/>
        <w:textAlignment w:val="auto"/>
        <w:rPr>
          <w:rFonts w:asciiTheme="majorHAnsi" w:hAnsiTheme="majorHAnsi"/>
        </w:rPr>
      </w:pPr>
      <w:r w:rsidRPr="008614F7">
        <w:rPr>
          <w:rFonts w:asciiTheme="majorHAnsi" w:hAnsiTheme="majorHAnsi"/>
        </w:rPr>
        <w:t>Ο αναλυτής να χρησιμοποιεί την μέθοδο συγκόλλησης σε κάρτα με στήλες.</w:t>
      </w:r>
    </w:p>
    <w:p w:rsidR="00BC6F9D" w:rsidRPr="008614F7" w:rsidRDefault="00BC6F9D" w:rsidP="00BC6F9D">
      <w:pPr>
        <w:pStyle w:val="2b"/>
        <w:widowControl/>
        <w:numPr>
          <w:ilvl w:val="0"/>
          <w:numId w:val="41"/>
        </w:numPr>
        <w:adjustRightInd/>
        <w:spacing w:line="240" w:lineRule="auto"/>
        <w:textAlignment w:val="auto"/>
        <w:rPr>
          <w:rFonts w:asciiTheme="majorHAnsi" w:hAnsiTheme="majorHAnsi"/>
        </w:rPr>
      </w:pPr>
      <w:r w:rsidRPr="008614F7">
        <w:rPr>
          <w:rFonts w:asciiTheme="majorHAnsi" w:hAnsiTheme="majorHAnsi"/>
        </w:rPr>
        <w:t>Να είναι πλήρως αυτόματος αναλυτής συνεχούς φόρτωσης δειγμάτων και τυχαίας προσπέλασης  και να  μπορεί να λειτουργεί όλο το  24ωρο</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Να μπορεί να εκτελεί όλες τις απαραίτητες εξετάσεις  της αιμοδοσίας όπως :</w:t>
      </w:r>
    </w:p>
    <w:p w:rsidR="00BC6F9D" w:rsidRPr="008614F7" w:rsidRDefault="00BC6F9D" w:rsidP="00BC6F9D">
      <w:pPr>
        <w:numPr>
          <w:ilvl w:val="1"/>
          <w:numId w:val="41"/>
        </w:numPr>
        <w:jc w:val="both"/>
        <w:rPr>
          <w:rFonts w:asciiTheme="majorHAnsi" w:hAnsiTheme="majorHAnsi"/>
          <w:sz w:val="20"/>
          <w:szCs w:val="20"/>
        </w:rPr>
      </w:pPr>
      <w:r w:rsidRPr="008614F7">
        <w:rPr>
          <w:rFonts w:asciiTheme="majorHAnsi" w:hAnsiTheme="majorHAnsi"/>
          <w:sz w:val="20"/>
          <w:szCs w:val="20"/>
        </w:rPr>
        <w:t>Ομάδα αίματος ,  Rhesus , ανάστροφη ομάδα</w:t>
      </w:r>
    </w:p>
    <w:p w:rsidR="00BC6F9D" w:rsidRPr="008614F7" w:rsidRDefault="00BC6F9D" w:rsidP="00BC6F9D">
      <w:pPr>
        <w:numPr>
          <w:ilvl w:val="1"/>
          <w:numId w:val="41"/>
        </w:numPr>
        <w:jc w:val="both"/>
        <w:rPr>
          <w:rFonts w:asciiTheme="majorHAnsi" w:hAnsiTheme="majorHAnsi"/>
          <w:sz w:val="20"/>
          <w:szCs w:val="20"/>
        </w:rPr>
      </w:pPr>
      <w:r w:rsidRPr="008614F7">
        <w:rPr>
          <w:rFonts w:asciiTheme="majorHAnsi" w:hAnsiTheme="majorHAnsi"/>
          <w:sz w:val="20"/>
          <w:szCs w:val="20"/>
        </w:rPr>
        <w:t xml:space="preserve">Φαινότυπο Rhesus </w:t>
      </w:r>
      <w:r w:rsidRPr="008614F7">
        <w:rPr>
          <w:rFonts w:asciiTheme="majorHAnsi" w:hAnsiTheme="majorHAnsi" w:cs="Arial"/>
          <w:i/>
          <w:sz w:val="20"/>
          <w:szCs w:val="20"/>
        </w:rPr>
        <w:t>(C,E,c,e,) και Κ</w:t>
      </w:r>
      <w:r w:rsidRPr="008614F7">
        <w:rPr>
          <w:rFonts w:asciiTheme="majorHAnsi" w:hAnsiTheme="majorHAnsi" w:cs="Arial"/>
          <w:i/>
          <w:sz w:val="20"/>
          <w:szCs w:val="20"/>
          <w:lang w:val="en-US"/>
        </w:rPr>
        <w:t>ell</w:t>
      </w:r>
    </w:p>
    <w:p w:rsidR="00BC6F9D" w:rsidRPr="008614F7" w:rsidRDefault="00BC6F9D" w:rsidP="00BC6F9D">
      <w:pPr>
        <w:numPr>
          <w:ilvl w:val="1"/>
          <w:numId w:val="41"/>
        </w:numPr>
        <w:jc w:val="both"/>
        <w:rPr>
          <w:rFonts w:asciiTheme="majorHAnsi" w:hAnsiTheme="majorHAnsi"/>
          <w:sz w:val="20"/>
          <w:szCs w:val="20"/>
        </w:rPr>
      </w:pPr>
      <w:r w:rsidRPr="008614F7">
        <w:rPr>
          <w:rFonts w:asciiTheme="majorHAnsi" w:hAnsiTheme="majorHAnsi"/>
          <w:sz w:val="20"/>
          <w:szCs w:val="20"/>
        </w:rPr>
        <w:t xml:space="preserve">Δοκιμασία συμβατότητας </w:t>
      </w:r>
      <w:r w:rsidRPr="008614F7">
        <w:rPr>
          <w:rFonts w:asciiTheme="majorHAnsi" w:hAnsiTheme="majorHAnsi" w:cs="Arial"/>
          <w:i/>
          <w:sz w:val="20"/>
          <w:szCs w:val="20"/>
        </w:rPr>
        <w:t xml:space="preserve">σε περιβάλλον και σε 37 </w:t>
      </w:r>
      <w:r w:rsidRPr="008614F7">
        <w:rPr>
          <w:rFonts w:asciiTheme="majorHAnsi" w:hAnsiTheme="majorHAnsi" w:cs="Arial"/>
          <w:i/>
          <w:sz w:val="20"/>
          <w:szCs w:val="20"/>
          <w:lang w:val="en-US"/>
        </w:rPr>
        <w:t>C</w:t>
      </w:r>
      <w:r w:rsidRPr="008614F7">
        <w:rPr>
          <w:rFonts w:asciiTheme="majorHAnsi" w:hAnsiTheme="majorHAnsi"/>
          <w:sz w:val="20"/>
          <w:szCs w:val="20"/>
        </w:rPr>
        <w:t xml:space="preserve"> </w:t>
      </w:r>
    </w:p>
    <w:p w:rsidR="00BC6F9D" w:rsidRPr="008614F7" w:rsidRDefault="00BC6F9D" w:rsidP="00BC6F9D">
      <w:pPr>
        <w:numPr>
          <w:ilvl w:val="1"/>
          <w:numId w:val="41"/>
        </w:numPr>
        <w:jc w:val="both"/>
        <w:rPr>
          <w:rFonts w:asciiTheme="majorHAnsi" w:hAnsiTheme="majorHAnsi"/>
          <w:sz w:val="20"/>
          <w:szCs w:val="20"/>
        </w:rPr>
      </w:pPr>
      <w:r w:rsidRPr="008614F7">
        <w:rPr>
          <w:rFonts w:asciiTheme="majorHAnsi" w:hAnsiTheme="majorHAnsi"/>
          <w:sz w:val="20"/>
          <w:szCs w:val="20"/>
        </w:rPr>
        <w:t>Ανίχνευση αντιερυθροκυτταρικών αντισωμάτων (Έμμεση Coombs) και ταυτοποίηση αυτών.</w:t>
      </w:r>
    </w:p>
    <w:p w:rsidR="00BC6F9D" w:rsidRPr="008614F7" w:rsidRDefault="00BC6F9D" w:rsidP="00BC6F9D">
      <w:pPr>
        <w:numPr>
          <w:ilvl w:val="1"/>
          <w:numId w:val="41"/>
        </w:numPr>
        <w:jc w:val="both"/>
        <w:rPr>
          <w:rFonts w:asciiTheme="majorHAnsi" w:hAnsiTheme="majorHAnsi"/>
          <w:sz w:val="20"/>
          <w:szCs w:val="20"/>
        </w:rPr>
      </w:pPr>
      <w:r w:rsidRPr="008614F7">
        <w:rPr>
          <w:rFonts w:asciiTheme="majorHAnsi" w:hAnsiTheme="majorHAnsi"/>
          <w:sz w:val="20"/>
          <w:szCs w:val="20"/>
        </w:rPr>
        <w:t>Άμεση Coombs.</w:t>
      </w:r>
    </w:p>
    <w:p w:rsidR="00BC6F9D" w:rsidRPr="008614F7" w:rsidRDefault="00BC6F9D" w:rsidP="00BC6F9D">
      <w:pPr>
        <w:numPr>
          <w:ilvl w:val="1"/>
          <w:numId w:val="41"/>
        </w:numPr>
        <w:rPr>
          <w:rFonts w:asciiTheme="majorHAnsi" w:hAnsiTheme="majorHAnsi"/>
          <w:sz w:val="20"/>
          <w:szCs w:val="20"/>
        </w:rPr>
      </w:pPr>
      <w:r w:rsidRPr="008614F7">
        <w:rPr>
          <w:rFonts w:asciiTheme="majorHAnsi" w:hAnsiTheme="majorHAnsi"/>
          <w:sz w:val="20"/>
          <w:szCs w:val="20"/>
        </w:rPr>
        <w:t>Προσδιορισμός ερυθροκυτταρικών αντιγόνων (Jka,Jkb,Fya,Fyb,M,N,S,s,Lea,Leb κλπ)</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Να έχει πάνω από 25 θέσεις για τοποθέτηση δειγμάτων και επιπλέον δυνατότητα για παραγγελία επείγουσας εξέτασης δειγμάτων.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Τα δείγματα να αναγνωρίζονται μέσω Barcode και να εξετάζονται από τα αρχικά σωληνάρια χωρίς μετάγγιση σε διαφορετικά σωληνάρια. Επίσης να δέχεται σωληνάρια όλων των διαθέσιμων διαστάσεων καθώς και παιδιατρικά. Ο αναλυτής να μπορεί να εξετάζει δείγματα ορού, πλάσματος, εναιωρήματος ερυθροκυτάρων, πυκνών ερυθρών, φυγοκεντρημένου ολικού αίματος. Να μπορεί να εξετάσει συνδυασμούς με τους παραπάνω τύπους δειγμάτων. Επίσης να μπορεί να παρασκευάσει αυτόματα εναιώρημα ερυθρών  3-5%.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lastRenderedPageBreak/>
        <w:t xml:space="preserve">Να διαθέτει ανιχνευτή πήγματος και ινικής φυσαλίδων για μεγαλύτερη ασφάλεια του αποτελέσματος. Μετά την ανίχνευση πήγματος πραγματοποιείται αυτόματος καθαρισμός. Επίσης να διαθέτει ανιχνευτή στάθμης.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Να έχει επαρκή αποθηκευτικό χώρο για αποθήκευση αντιδραστηρίων. Τα αντιδραστήρια τοποθετούνται σε τυχαίες θέσεις και ο αναλυτής μέσω του γραμμικού κώδικα (Barcode) ελέγχει όλα τα απαραίτητα στοιχεία (όνομα αντιδραστηρίου, αρ.παρτίδας, ημ.λήξης).</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Να υπάρχει δυνατότητα ενημέρωσης του χρήστη  κάθε στιγμή για τα απαιτούμενα αντιδραστήρια, για τα διαθέσιμα , για το χρόνο που χρειάζεται για να πραγματοποιηθεί η κάθε εξέταση κλπ.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Ο αναλυτής να διαθέτει επαρκή αποθηκευτικό χώρο για στερεά και υγρά απόβλητα. και η στάθμη τους ελέγχεται ηλεκτρονικά.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Είναι πολύ σημαντικό να έχει υψηλή ταχύτητα εκτέλεσης των εξετάσεων (&gt;30 ομάδες και φαινότυποι/ώρα ή &gt;20 διασταυρώσεις/ώρα).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Το αποτέλεσμα της αντίδρασης να ελέγχεται αυτόματα από κάμερα υψηλής ευκρίνειας και από τις δύο όψεις της κασέτας και να ερμηνεύεται αυτόματα. Σε περίπτωση μη ερμηνείας κάποιου αποτελέσματος (μικτός πληθυσμός, ακαθάριστο αποτέλεσμα κλπ) ο χρήστης να έχει τη δυνατότητα να δει την κασέτα για την αξιολόγηση του αποτελέσματος. Η εικόνα της αντίδρασης θα πρέπει να αποθηκεύεται ηλεκτρονικά στη μνήμη του αναλυτή.</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Ο αναλυτής θα πρέπει να διατηρεί αρχείο αποτελεσμάτων για τουλάχιστον 5 έτη.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Να μπορεί να συνδέεται με εξωτερικό πληροφοριακό σύστημα (LIS) για λήψη παραγγελιών και αποστολή αποτελεσμάτων.</w:t>
      </w:r>
    </w:p>
    <w:p w:rsidR="00BC6F9D" w:rsidRPr="008614F7" w:rsidRDefault="00BC6F9D" w:rsidP="00BC6F9D">
      <w:pPr>
        <w:pStyle w:val="3c"/>
        <w:numPr>
          <w:ilvl w:val="0"/>
          <w:numId w:val="41"/>
        </w:numPr>
        <w:spacing w:before="120" w:after="0"/>
        <w:ind w:left="714" w:hanging="357"/>
        <w:jc w:val="both"/>
        <w:rPr>
          <w:rFonts w:asciiTheme="majorHAnsi" w:hAnsiTheme="majorHAnsi"/>
          <w:b/>
          <w:bCs/>
          <w:sz w:val="20"/>
          <w:szCs w:val="20"/>
        </w:rPr>
      </w:pPr>
      <w:r w:rsidRPr="008614F7">
        <w:rPr>
          <w:rFonts w:asciiTheme="majorHAnsi" w:hAnsiTheme="majorHAnsi"/>
          <w:b/>
          <w:bCs/>
          <w:sz w:val="20"/>
          <w:szCs w:val="20"/>
        </w:rPr>
        <w:t>Ο χρήστης να μπορεί να έχει τη δυνατότητα  πρόσβασης σε επί μέρους τμήματα (πχ να προσθέσει δείγματα ή κασέτες), χωρίς να επηρεαστεί η λειτουργία του αναλυτή.</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Να διαθέτει σύστημα ποιοτικού ελέγχου τόσο για τα επιμέρους τμήματά του όσο και για τα αντιδραστήρια με έτοιμα αυτοματοποιημένα πρωτόκολλα και τα αντίστοιχα αντιδραστήρια.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Ο αναλυτής να διαθέτει εύχρηστο πρόγραμμα σε περιβάλλον windows και με οθόνη αφής . Ο χρήστης ανά πάσα στιγμή να μπορεί να επιλέγει την εξέταση ή το πάνελ των εξετάσεων που θέλει να πραγματοποιήσει.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 xml:space="preserve">Μαζί με τον αναλυτή να διατίθεται μη αυτόματο εφεδρικό σύστημα που να δέχεται τα ίδια αντιδραστήρια (κάρτες με στήλες) ώστε να είναι δυνατή η εκτέλεση των απαιτούμενων εξετάσεων σε περίπτωση βλάβης του αναλυτή. </w:t>
      </w:r>
    </w:p>
    <w:p w:rsidR="00BC6F9D" w:rsidRPr="008614F7" w:rsidRDefault="00BC6F9D" w:rsidP="00BC6F9D">
      <w:pPr>
        <w:numPr>
          <w:ilvl w:val="0"/>
          <w:numId w:val="41"/>
        </w:numPr>
        <w:jc w:val="both"/>
        <w:rPr>
          <w:rFonts w:asciiTheme="majorHAnsi" w:hAnsiTheme="majorHAnsi"/>
          <w:sz w:val="20"/>
          <w:szCs w:val="20"/>
        </w:rPr>
      </w:pPr>
      <w:r w:rsidRPr="008614F7">
        <w:rPr>
          <w:rFonts w:asciiTheme="majorHAnsi" w:hAnsiTheme="majorHAnsi"/>
          <w:sz w:val="20"/>
          <w:szCs w:val="20"/>
        </w:rPr>
        <w:t>Το ανωτέρω σύστημα να συνοδεύεται από πιστοποιητικά που να διασφαλίζουν την ποιότητα των προσφερομένων προϊόντων (ISO 9001        κλπ) ,τα οποία να έχουν έγκριση από μεγάλους οργανισμούς (όπως FDA, Paul Ehrlich ).</w:t>
      </w:r>
    </w:p>
    <w:p w:rsidR="00BC6F9D" w:rsidRPr="008614F7" w:rsidRDefault="00BC6F9D" w:rsidP="00BC6F9D">
      <w:pPr>
        <w:pStyle w:val="aff2"/>
        <w:ind w:right="618"/>
        <w:jc w:val="both"/>
        <w:rPr>
          <w:rFonts w:asciiTheme="majorHAnsi" w:hAnsiTheme="majorHAnsi"/>
          <w:b/>
          <w:sz w:val="20"/>
          <w:szCs w:val="20"/>
        </w:rPr>
      </w:pPr>
      <w:r w:rsidRPr="008614F7">
        <w:rPr>
          <w:rFonts w:asciiTheme="majorHAnsi" w:hAnsiTheme="majorHAnsi"/>
          <w:sz w:val="20"/>
          <w:szCs w:val="20"/>
        </w:rPr>
        <w:t xml:space="preserve"> </w:t>
      </w:r>
      <w:r w:rsidRPr="008614F7">
        <w:rPr>
          <w:rFonts w:asciiTheme="majorHAnsi" w:hAnsiTheme="majorHAnsi"/>
          <w:b/>
          <w:sz w:val="20"/>
          <w:szCs w:val="20"/>
        </w:rPr>
        <w:t xml:space="preserve">2.5   ΔΥΝΑΤΟΤΗΤΑ ΣΥΝΤΗΡΗΣΗΣ ΤΟΥ ΔΙΑΤΙΘΕΜΕΝΟΥ ΜΗΧΑΝΗΜΑΤΟΣ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2.5.1. Κάθε προμηθευτής υποχρεούται να καταθέσει τα παρακάτω έντυπα και πιστοποιητικά μαζί με την προσφορά του.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2.5.1.1. 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2.5.1.2. 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(service,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2.5.1.3. Κατάθεση στοιχείων με την υψηλή επαναληψιμότητα  του μηχανήματος τεκμηριωμένη με πιστοποιητικά και γραφικές παραστάσεις από τον  Οίκο κατασκευής.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2.5.1.4. Κατάθεση πλήρους αναφοράς σχετικά με την ακρίβεια των μετρήσεων (από το μηχάνημα) σε σχέση με τις εκάστοτε μεθόδους αναφοράς.</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2.5.1.5.Σε 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2.5.1.6. Συμμόρφωση C.E. σύμφωνα με τις διατάξεις της Οδηγίας 89/336/ΕΟΚ για την ηλεκτρομαγνητική συμβατότητα (κοινή Υπουργική Απόφαση 94649/8682/93), πιστοποιητικό ελεύθερης κυκλοφορίας από την αρμόδια Αρχή της χώρας παραγωγής.</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2.5.1.7. Οποιαδήποτε απόκλιση από τις παραπάνω απαιτήσεις αποτελεί αιτία απόρριψης της προσφοράς.</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2.5.1.8. 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w:t>
      </w:r>
      <w:r w:rsidRPr="008614F7">
        <w:rPr>
          <w:rFonts w:asciiTheme="majorHAnsi" w:hAnsiTheme="majorHAnsi"/>
          <w:sz w:val="20"/>
          <w:szCs w:val="20"/>
        </w:rPr>
        <w:lastRenderedPageBreak/>
        <w:t>δυνατοτήτων της συσκευής  ή ακόμη και την επίδειξη σε λειτουργία  της συσκευής, χωρίς καμία απαίτηση του προμηθευτή.</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2.5.1.9. Διαφημιστικό βιβλιάριο ή φυλλάδιο της εταιρείας  (PROSPECTUS) για το συγκεκριμένο σύστημα που θα περιέχει τα γενικά τεχνικά χαρακτηριστικά του.</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2.5.1.10. Έγγραφη δήλωση του προμηθευτή ότι θα προσκομίσει το μηχάνημα σε δύο (2) μήνες από την υπογραφή της σύμβασης.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2.5.1.11.Έγγραφη δήλωση ότι εγγυάται την καλή λειτουργία του μηχανήματος για το χρονικό διάστημα   της Σύμβασης όπως αναφέρεται στη παράγραφο 3.2.1 για την εξασφάλιση των οποίων είναι απαραίτητη η ύπαρξη επανδρωμένου και οργανωμένου τεχνικού τμήματος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 2.5.1.12. Έγγραφη δήλωση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2.5.1.13.Έγγραφη εγγύηση δήλωση για τη δυνατότητα υποστηρίξεως.(με επισκευές , ανταλλακτικά, βαθμονόμηση, σχετική πληροφόρηση κ.λ.π)</w:t>
      </w:r>
      <w:r w:rsidRPr="008614F7">
        <w:rPr>
          <w:rFonts w:asciiTheme="majorHAnsi" w:hAnsiTheme="majorHAnsi"/>
          <w:b/>
          <w:sz w:val="20"/>
          <w:szCs w:val="20"/>
        </w:rPr>
        <w:t xml:space="preserve"> </w:t>
      </w:r>
      <w:r w:rsidRPr="008614F7">
        <w:rPr>
          <w:rFonts w:asciiTheme="majorHAnsi" w:hAnsiTheme="majorHAnsi"/>
          <w:sz w:val="20"/>
          <w:szCs w:val="20"/>
        </w:rPr>
        <w:t xml:space="preserve">όπως προβλέπεται στην παράγραφο 2.1.2. </w:t>
      </w:r>
    </w:p>
    <w:p w:rsidR="00BC6F9D" w:rsidRPr="008614F7" w:rsidRDefault="00BC6F9D" w:rsidP="00BC6F9D">
      <w:pPr>
        <w:jc w:val="both"/>
        <w:rPr>
          <w:rFonts w:asciiTheme="majorHAnsi" w:hAnsiTheme="majorHAnsi"/>
          <w:b/>
          <w:sz w:val="20"/>
          <w:szCs w:val="20"/>
        </w:rPr>
      </w:pPr>
      <w:r w:rsidRPr="008614F7">
        <w:rPr>
          <w:rFonts w:asciiTheme="majorHAnsi" w:hAnsiTheme="majorHAnsi"/>
          <w:b/>
          <w:sz w:val="20"/>
          <w:szCs w:val="20"/>
        </w:rPr>
        <w:t>2.5.1.14  Θα αξιολογηθεί θετικά η ύπαρξη οργανωμένου τεχνικού τμήματος σε επίπεδο Κρήτης για την όσο το δυνατόν πιο άμεση παροχή τεχνικής υποστήριξης.</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2.5.1.15. Είναι δικαίωμα του Νοσοκομείου να επιθεωρήσει τις εγκαταστάσεις του προμηθευτή ώστε να βεβαιωθεί για την δυνατότητα ανταπόκρισης στα ζητούμενα.</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b/>
          <w:sz w:val="20"/>
          <w:szCs w:val="20"/>
        </w:rPr>
      </w:pPr>
    </w:p>
    <w:p w:rsidR="00BC6F9D" w:rsidRPr="008614F7" w:rsidRDefault="00BC6F9D" w:rsidP="00BC6F9D">
      <w:pPr>
        <w:jc w:val="both"/>
        <w:rPr>
          <w:rFonts w:asciiTheme="majorHAnsi" w:hAnsiTheme="majorHAnsi"/>
          <w:sz w:val="20"/>
          <w:szCs w:val="20"/>
        </w:rPr>
      </w:pPr>
      <w:r w:rsidRPr="008614F7">
        <w:rPr>
          <w:rFonts w:asciiTheme="majorHAnsi" w:hAnsiTheme="majorHAnsi"/>
          <w:b/>
          <w:sz w:val="20"/>
          <w:szCs w:val="20"/>
        </w:rPr>
        <w:t>3. ΕΛΕΓΧΟΣ  ΠΟΙΟΤΗΤΑΣ  - ΟΡΟΙ ΑΠΟΔΟΧΗΣ</w:t>
      </w:r>
      <w:r w:rsidRPr="008614F7">
        <w:rPr>
          <w:rFonts w:asciiTheme="majorHAnsi" w:hAnsiTheme="majorHAnsi"/>
          <w:sz w:val="20"/>
          <w:szCs w:val="20"/>
        </w:rPr>
        <w:t xml:space="preserve">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3.1. Τα υπό προμήθεια αντιδραστήρια πρέπει να πληρούν όλους τους όρους της </w:t>
      </w:r>
      <w:r w:rsidRPr="008614F7">
        <w:rPr>
          <w:rFonts w:asciiTheme="majorHAnsi" w:hAnsiTheme="majorHAnsi"/>
          <w:sz w:val="20"/>
          <w:szCs w:val="20"/>
        </w:rPr>
        <w:br/>
        <w:t>παραγράφου 2.2.1.ΒΙΟΛΟΓΙΚΑ ΚΑΙ ΧΗΜΙΚΑ ΑΝΤΙΔΡΑΣΤΗΡΙΑ.</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 xml:space="preserve">3.2. 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 </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(Serial Number),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σε σύντομο χρονικό διάστημα ώστε μα μην παρακωλύεται η λειτουργία της αιμοδοσίας.</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3.2.2. Σε περίπτωση βλάβης του αναλυτή το χρονικό διάστημα παραμονής του εκτός λειτουργίας δεν πρέπει να υπερβαίνει τις 24 ώρες από την στιγμή της ειδοποίησης του προμηθευτή για την βλάβη.</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3.3. Ο αναλυτής θα πρέπει να προσφερθεί πλήρης και έτοιμος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BC6F9D" w:rsidRPr="008614F7" w:rsidRDefault="00BC6F9D" w:rsidP="00BC6F9D">
      <w:pPr>
        <w:pStyle w:val="CharCharChar"/>
        <w:spacing w:after="0" w:line="240" w:lineRule="auto"/>
        <w:jc w:val="both"/>
        <w:rPr>
          <w:rFonts w:asciiTheme="majorHAnsi" w:hAnsiTheme="majorHAnsi"/>
          <w:lang w:val="el-GR" w:eastAsia="el-GR"/>
        </w:rPr>
      </w:pPr>
    </w:p>
    <w:p w:rsidR="00BC6F9D" w:rsidRPr="008614F7" w:rsidRDefault="00BC6F9D" w:rsidP="00BC6F9D">
      <w:pPr>
        <w:jc w:val="both"/>
        <w:rPr>
          <w:rFonts w:asciiTheme="majorHAnsi" w:hAnsiTheme="majorHAnsi"/>
          <w:sz w:val="20"/>
          <w:szCs w:val="20"/>
        </w:rPr>
      </w:pPr>
      <w:r w:rsidRPr="008614F7">
        <w:rPr>
          <w:rFonts w:asciiTheme="majorHAnsi" w:hAnsiTheme="majorHAnsi"/>
          <w:b/>
          <w:sz w:val="20"/>
          <w:szCs w:val="20"/>
        </w:rPr>
        <w:t>4. ΟΡΟΙ  ΑΠΑΡΑΒΑΤΟΙ</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4.1.Οι προμηθευτές πρέπει να καταθέσουν με την προσφορά τους πελατολόγια Αιμοδοσιών με τις οποίες συνεργάζονται για τα προσφερόμενα αντιδραστήρια. Είναι απαραίτητη αυτή η προϋπάρχουσα συνεχής εμπειρία και συνεργασία με Αιμοδοσίες για την ασφάλεια των μεταγγίσεων.</w:t>
      </w:r>
    </w:p>
    <w:p w:rsidR="00BC6F9D" w:rsidRPr="008614F7" w:rsidRDefault="00BC6F9D" w:rsidP="00BC6F9D">
      <w:pPr>
        <w:jc w:val="both"/>
        <w:rPr>
          <w:rFonts w:asciiTheme="majorHAnsi" w:hAnsiTheme="majorHAnsi"/>
          <w:sz w:val="20"/>
          <w:szCs w:val="20"/>
        </w:rPr>
      </w:pPr>
      <w:r w:rsidRPr="008614F7">
        <w:rPr>
          <w:rFonts w:asciiTheme="majorHAnsi" w:hAnsiTheme="majorHAnsi"/>
          <w:sz w:val="20"/>
          <w:szCs w:val="20"/>
        </w:rPr>
        <w:t>4.2. Οι προσφορές πρέπει να περιλαμβάνουν πιστοποιητικά ποιότητας της εταιρείας και των προσφερόμενων υλικών και πιστοποιητικά έγκρισης από διεθνείς  οργανισμούς (FDA, κλπ.)</w:t>
      </w:r>
    </w:p>
    <w:p w:rsidR="00BC6F9D" w:rsidRPr="008614F7" w:rsidRDefault="00BC6F9D" w:rsidP="00BC6F9D">
      <w:pPr>
        <w:jc w:val="both"/>
        <w:rPr>
          <w:rFonts w:asciiTheme="majorHAnsi" w:hAnsiTheme="majorHAnsi"/>
          <w:sz w:val="20"/>
          <w:szCs w:val="20"/>
        </w:rPr>
      </w:pPr>
    </w:p>
    <w:p w:rsidR="00BC6F9D" w:rsidRPr="008614F7" w:rsidRDefault="00BC6F9D" w:rsidP="00BC6F9D">
      <w:pPr>
        <w:jc w:val="both"/>
        <w:rPr>
          <w:rFonts w:asciiTheme="majorHAnsi" w:hAnsiTheme="majorHAnsi" w:cs="Arial"/>
          <w:b/>
          <w:sz w:val="20"/>
          <w:szCs w:val="20"/>
        </w:rPr>
      </w:pPr>
    </w:p>
    <w:p w:rsidR="00BC6F9D" w:rsidRPr="008614F7" w:rsidRDefault="00BC6F9D" w:rsidP="00BC6F9D">
      <w:pPr>
        <w:jc w:val="both"/>
        <w:rPr>
          <w:rFonts w:asciiTheme="majorHAnsi" w:hAnsiTheme="majorHAnsi" w:cs="Arial"/>
          <w:b/>
          <w:sz w:val="20"/>
          <w:szCs w:val="20"/>
          <w:u w:val="single"/>
        </w:rPr>
      </w:pPr>
      <w:r w:rsidRPr="008614F7">
        <w:rPr>
          <w:rFonts w:asciiTheme="majorHAnsi" w:hAnsiTheme="majorHAnsi" w:cs="Arial"/>
          <w:b/>
          <w:sz w:val="20"/>
          <w:szCs w:val="20"/>
          <w:u w:val="single"/>
        </w:rPr>
        <w:t>ΜΕΡΟΣ Γ΄ : ΖΗΤΟΥΜΕΝΕΣ ΕΞΕΤΑΣΕΙΣ</w:t>
      </w:r>
    </w:p>
    <w:p w:rsidR="00BC6F9D" w:rsidRDefault="00BC6F9D" w:rsidP="00BC6F9D">
      <w:pPr>
        <w:rPr>
          <w:rStyle w:val="100"/>
          <w:b/>
          <w:bCs/>
        </w:rPr>
      </w:pPr>
    </w:p>
    <w:tbl>
      <w:tblPr>
        <w:tblW w:w="11220" w:type="dxa"/>
        <w:jc w:val="center"/>
        <w:tblLook w:val="04A0"/>
      </w:tblPr>
      <w:tblGrid>
        <w:gridCol w:w="744"/>
        <w:gridCol w:w="2516"/>
        <w:gridCol w:w="1909"/>
        <w:gridCol w:w="529"/>
        <w:gridCol w:w="541"/>
        <w:gridCol w:w="662"/>
        <w:gridCol w:w="1092"/>
        <w:gridCol w:w="848"/>
        <w:gridCol w:w="961"/>
        <w:gridCol w:w="1418"/>
      </w:tblGrid>
      <w:tr w:rsidR="00BC6F9D" w:rsidRPr="00F026BF" w:rsidTr="002E262D">
        <w:trPr>
          <w:trHeight w:val="113"/>
          <w:jc w:val="center"/>
        </w:trPr>
        <w:tc>
          <w:tcPr>
            <w:tcW w:w="11220" w:type="dxa"/>
            <w:gridSpan w:val="10"/>
            <w:tcBorders>
              <w:top w:val="single" w:sz="8" w:space="0" w:color="auto"/>
              <w:left w:val="single" w:sz="8" w:space="0" w:color="auto"/>
              <w:bottom w:val="single" w:sz="8" w:space="0" w:color="auto"/>
              <w:right w:val="single" w:sz="8" w:space="0" w:color="000000"/>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ΕΛΕΓΧΟΣ ΟΜΑΔΩΝ ΑΙΜΑΤΟΣ ΣΕ ΑΥΤΟΜΑΤΟ ΑΝΑΛΥΤΗ ΣΕ ΚΑΣΕΤΕΣ ΜΕ ΣΤΗΛΕΣ ΑΙΜΟΣΥΓΚΟΛΗΣΗΣ</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Α/Α</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ΠΕΡΙΓΡΑΦΗ</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KEOKE</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ΜΜ</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ΠΟΣ</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ΤΙΜΗ</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ΣΥΝΟΛΟ</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ΦΠΑ</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ΦΠΑ</w:t>
            </w:r>
          </w:p>
        </w:tc>
        <w:tc>
          <w:tcPr>
            <w:tcW w:w="1418"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sz w:val="16"/>
                <w:szCs w:val="16"/>
              </w:rPr>
            </w:pPr>
            <w:r w:rsidRPr="00F026BF">
              <w:rPr>
                <w:rFonts w:ascii="Calibri" w:eastAsia="Times New Roman" w:hAnsi="Calibri" w:cs="Times New Roman"/>
                <w:sz w:val="16"/>
                <w:szCs w:val="16"/>
              </w:rPr>
              <w:t xml:space="preserve">ΤΕΛΙΚΟ ΣΥΝΟΛΟ </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ΟΜΑΔΑ ABO/ RH ΓΙΑ ΝΕΟΓΝΑ + ΑΜΕΣΗ COOMBS</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13.03.03.01.001 13.03.04.20.001</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600</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3,9</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2340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140,4</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2480,4</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ΓΝΩΣΤΑ ΕΡΥΘΡΟΚΥΤΤΑΡΑ ΓΙΑ ΑΝΑΣΤΡΟΦΗ ΟΜΑΔΑ (Α1 ΚΑΙ Β)</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 xml:space="preserve">13.03.01.02.001 13.03.01.90.900 </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35</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630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81,9</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711,9</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3</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ΕΠΑΝΕΛΕΓΧΟΣ ΟΜΑΔΑΣ ΑΙΜΑΤΟΣ ΑΒD/ABD</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13.03.03.90.900</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2800</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1,55</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4340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260,4</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4600,4</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4</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ΟΜΑΔΑ ΑΙΜΑΤΟΣ ΑΒΟ-Rh-D ΚΑΙ ΑΝΑΣΤΡΟΦΗ ΟΜΑΔΑ</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13.03.03.90.900</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3200</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3,3</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10560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633,6</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11193,6</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5</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ΠΛΗΡΗΣ ΦΑΙΝΟΤΥΠΟΣ  Rhesus ( Αντιγόνα C, c, E, e ) + Kell+ Ctrl</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13.03.02.90.900</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3200</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5,5</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17600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1056</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18656</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lastRenderedPageBreak/>
              <w:t>6</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ΠΡΟΣΔΙΟΡΙΣΜΟΣ ΑΣΘΕΝΟΥΣ D ΚΑΙ ΠΟΙΚΙΛΙΑΣ DVI</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13.03.02.20.001</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0,296</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37</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4,81</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41,81</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7</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ΚΑΘΟΡΙΣΜΟΣ D, Anti-D (IAT) ΟΡΟΣ </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13.03.02.01.001</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0,296</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37</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4,81</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41,81</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8</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Jka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13.03.05.90.004</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2,98</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372,5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48,425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420,925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9</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Jkb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13.03.05.90.005</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2,73</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341,25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44,3625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385,6125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10</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Le a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13.03.05.90.006</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2,64</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198</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25,74</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223,74</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11</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Leb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13.03.05.90.007</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2,64</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198</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25,74</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223,74</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12</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Ρ1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13.03.05.90.014</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3,94</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295,5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38,415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333,915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13</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Μ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13.03.05.90.010</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1,84</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138</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17,94</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155,94</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14</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Ν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13.03.05.90.011</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4,88</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366</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47,58</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413,58</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15</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Fya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13.03.05.90.008</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1,68</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210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27,3</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237,3</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16</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Fyβ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13.03.05.90.009</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2,59</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323,75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42,0875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365,8375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17</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S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 xml:space="preserve">13.03.05.90.012 </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1,49</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186,25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24,2125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210,4625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18</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ΚΑΘΟΡΙΣΜΟΣ  s ΟΡΟΣ</w:t>
            </w: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13.03.05.90.013</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1,79</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223,75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29,0875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252,8375</w:t>
            </w:r>
          </w:p>
        </w:tc>
      </w:tr>
      <w:tr w:rsidR="00BC6F9D" w:rsidRPr="00F026BF" w:rsidTr="002E262D">
        <w:trPr>
          <w:trHeight w:val="113"/>
          <w:jc w:val="center"/>
        </w:trPr>
        <w:tc>
          <w:tcPr>
            <w:tcW w:w="744" w:type="dxa"/>
            <w:tcBorders>
              <w:top w:val="nil"/>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19</w:t>
            </w:r>
          </w:p>
        </w:tc>
        <w:tc>
          <w:tcPr>
            <w:tcW w:w="2516"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ANTI IgG  CASSETES για καθορισμό Αντιγόνων Duffy(Fya , Fyb , S,s και D</w:t>
            </w:r>
          </w:p>
        </w:tc>
        <w:tc>
          <w:tcPr>
            <w:tcW w:w="1909" w:type="dxa"/>
            <w:tcBorders>
              <w:top w:val="nil"/>
              <w:left w:val="nil"/>
              <w:bottom w:val="nil"/>
              <w:right w:val="nil"/>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13.03.05.90.008 13.03.05.90.009  13.03.05.90.012 13.03.05.90.013 13.03.02.01.001</w:t>
            </w:r>
          </w:p>
        </w:tc>
        <w:tc>
          <w:tcPr>
            <w:tcW w:w="529" w:type="dxa"/>
            <w:tcBorders>
              <w:top w:val="nil"/>
              <w:left w:val="single" w:sz="8" w:space="0" w:color="auto"/>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360</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0,63</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226,8</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13,608</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240,408</w:t>
            </w:r>
          </w:p>
        </w:tc>
      </w:tr>
      <w:tr w:rsidR="00BC6F9D" w:rsidRPr="00F026BF" w:rsidTr="002E262D">
        <w:trPr>
          <w:trHeight w:val="113"/>
          <w:jc w:val="center"/>
        </w:trPr>
        <w:tc>
          <w:tcPr>
            <w:tcW w:w="744"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20</w:t>
            </w:r>
          </w:p>
        </w:tc>
        <w:tc>
          <w:tcPr>
            <w:tcW w:w="2516"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ΚΑΣΣΕΤΕΣ ΟΥΔΕΤΕΡΟΥ ΔΙΑΛΥΜΑΤΟΣ για καθορισμό Αντιγόνων Μ,Ν και για Panel ΤΑΥΤΟΠΟΙΗΣΗΣ ΑΝΤΙΕΡΥΘΡΟΚΥΤΤΑΡΙΚΩΝ ΑΝΤΙΣΩΜΑΤΩΝ</w:t>
            </w:r>
          </w:p>
        </w:tc>
        <w:tc>
          <w:tcPr>
            <w:tcW w:w="1909" w:type="dxa"/>
            <w:tcBorders>
              <w:top w:val="single" w:sz="8" w:space="0" w:color="auto"/>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13.03.05.90.010</w:t>
            </w:r>
          </w:p>
        </w:tc>
        <w:tc>
          <w:tcPr>
            <w:tcW w:w="52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720</w:t>
            </w:r>
          </w:p>
        </w:tc>
        <w:tc>
          <w:tcPr>
            <w:tcW w:w="66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0,58</w:t>
            </w:r>
          </w:p>
        </w:tc>
        <w:tc>
          <w:tcPr>
            <w:tcW w:w="10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417,6</w:t>
            </w:r>
          </w:p>
        </w:tc>
        <w:tc>
          <w:tcPr>
            <w:tcW w:w="84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54,288</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471,888</w:t>
            </w: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13.03.05.90.011</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13.03.04.03.001</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21</w:t>
            </w:r>
          </w:p>
        </w:tc>
        <w:tc>
          <w:tcPr>
            <w:tcW w:w="2516"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ΚΑΣΣΕΤΕΣ ΑΙΜΟΣΥΓΚΟΛΗΣΗΣ  ΓΙΑ ΑΝΑΣΤΡΟΦΗ ΟΜΑΔΑ &amp; ΚΑΘΟΡΙΣΜΟΣ ΑΝΤΙΓΟΝΙΚΩΝ ΣΥΣΤΗΜΑΤΩΝ  KID (jka , jkb) P &amp; LEWIS(Lea , Leb)</w:t>
            </w:r>
          </w:p>
        </w:tc>
        <w:tc>
          <w:tcPr>
            <w:tcW w:w="1909" w:type="dxa"/>
            <w:tcBorders>
              <w:top w:val="nil"/>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13.03.05.90.004 13.03.05.90.014 13.03.05.90.007</w:t>
            </w:r>
          </w:p>
        </w:tc>
        <w:tc>
          <w:tcPr>
            <w:tcW w:w="52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1800</w:t>
            </w:r>
          </w:p>
        </w:tc>
        <w:tc>
          <w:tcPr>
            <w:tcW w:w="66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0,4275</w:t>
            </w:r>
          </w:p>
        </w:tc>
        <w:tc>
          <w:tcPr>
            <w:tcW w:w="10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769,5</w:t>
            </w:r>
          </w:p>
        </w:tc>
        <w:tc>
          <w:tcPr>
            <w:tcW w:w="84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100,035</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869,535</w:t>
            </w: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13.03.05.90.006</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13.03.05.90.005</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tcBorders>
              <w:top w:val="nil"/>
              <w:left w:val="single" w:sz="8" w:space="0" w:color="auto"/>
              <w:bottom w:val="nil"/>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 </w:t>
            </w:r>
          </w:p>
        </w:tc>
        <w:tc>
          <w:tcPr>
            <w:tcW w:w="10476" w:type="dxa"/>
            <w:gridSpan w:val="9"/>
            <w:tcBorders>
              <w:top w:val="single" w:sz="8" w:space="0" w:color="auto"/>
              <w:left w:val="nil"/>
              <w:bottom w:val="single" w:sz="8" w:space="0" w:color="auto"/>
              <w:right w:val="single" w:sz="8" w:space="0" w:color="000000"/>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ΕΜΜΕΣΗ COOMBS –PANEL ΤΑΥΤΟΠΟΙΗΣΗΣ ΑΝΤΙΕΡΥΘΡΟΚΥΤΤΑΡΙΚΩΝ ΑΝΤΙΣΩΜΑΤΩΝ  ΣΕ ΑΥΤΟΜΑΤΟ ΑΝΑΛΥΤΗ  ΣΕ ΚΑΣΕΤΕΣ ΜΕ ΣΤΗΛΕΣ ΑΙΜΟΣΥΓΚΟΛΗΣΗΣ</w:t>
            </w:r>
          </w:p>
        </w:tc>
      </w:tr>
      <w:tr w:rsidR="00BC6F9D" w:rsidRPr="00F026BF" w:rsidTr="002E262D">
        <w:trPr>
          <w:trHeight w:val="113"/>
          <w:jc w:val="center"/>
        </w:trPr>
        <w:tc>
          <w:tcPr>
            <w:tcW w:w="74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Α/Α</w:t>
            </w:r>
          </w:p>
        </w:tc>
        <w:tc>
          <w:tcPr>
            <w:tcW w:w="2516" w:type="dxa"/>
            <w:tcBorders>
              <w:top w:val="nil"/>
              <w:left w:val="nil"/>
              <w:bottom w:val="single" w:sz="4"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ΠΕΡΙΓΡΑΦΗ</w:t>
            </w:r>
          </w:p>
        </w:tc>
        <w:tc>
          <w:tcPr>
            <w:tcW w:w="1909" w:type="dxa"/>
            <w:tcBorders>
              <w:top w:val="nil"/>
              <w:left w:val="nil"/>
              <w:bottom w:val="single" w:sz="4"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KEOKE</w:t>
            </w:r>
          </w:p>
        </w:tc>
        <w:tc>
          <w:tcPr>
            <w:tcW w:w="529"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ΜΜ</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ΠΟΣ</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ΤΙΜΗ</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ΣΥΝΟΛΟ</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ΦΠΑ 24%</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ΦΠΑ</w:t>
            </w:r>
          </w:p>
        </w:tc>
        <w:tc>
          <w:tcPr>
            <w:tcW w:w="1418"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ΤΕΛΙΚΟ ΣΥΝΟΛΟ </w:t>
            </w:r>
          </w:p>
        </w:tc>
      </w:tr>
      <w:tr w:rsidR="00BC6F9D" w:rsidRPr="00F026BF" w:rsidTr="002E262D">
        <w:trPr>
          <w:trHeight w:val="113"/>
          <w:jc w:val="center"/>
        </w:trPr>
        <w:tc>
          <w:tcPr>
            <w:tcW w:w="744" w:type="dxa"/>
            <w:tcBorders>
              <w:top w:val="nil"/>
              <w:left w:val="single" w:sz="8" w:space="0" w:color="auto"/>
              <w:bottom w:val="single" w:sz="8" w:space="0" w:color="auto"/>
              <w:right w:val="single" w:sz="4"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22</w:t>
            </w:r>
          </w:p>
        </w:tc>
        <w:tc>
          <w:tcPr>
            <w:tcW w:w="25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ΓΝΩΣΤΑ ΕΡΥΘΡΑ  ΜΗ ΕΠΕΞΕΡΓΑΣΜΕΝΑ ΚΑΙ ΕΠΕΞΕΡΓΑΣΜΕΝΑ ΜΕ ΕΝΖΥΜΟ ΓΙΑ ΕΛΕΓΧΟ ΑΛΛΟΑΝΤΙΣΩΜΑΤΩΝ (ΕΜΜΕΣΗ COOMBS)  (3+3 ΕΡΥΘΡΟΚΥΤΤΑΡΙΚΑ ΔΕΙΓΜΑΤΑ - 12 μηνιαίες συσκευασίες)συσκευασίες)</w:t>
            </w:r>
          </w:p>
        </w:tc>
        <w:tc>
          <w:tcPr>
            <w:tcW w:w="19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13.03.04.02.001 ΚΑΙ 13.03.04.03.001</w:t>
            </w:r>
          </w:p>
        </w:tc>
        <w:tc>
          <w:tcPr>
            <w:tcW w:w="529" w:type="dxa"/>
            <w:tcBorders>
              <w:top w:val="nil"/>
              <w:left w:val="single" w:sz="4" w:space="0" w:color="auto"/>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9</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108</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972</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126,36</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1098,36</w:t>
            </w:r>
          </w:p>
        </w:tc>
      </w:tr>
      <w:tr w:rsidR="00BC6F9D" w:rsidRPr="00F026BF" w:rsidTr="002E262D">
        <w:trPr>
          <w:trHeight w:val="113"/>
          <w:jc w:val="center"/>
        </w:trPr>
        <w:tc>
          <w:tcPr>
            <w:tcW w:w="744" w:type="dxa"/>
            <w:tcBorders>
              <w:top w:val="nil"/>
              <w:left w:val="single" w:sz="8" w:space="0" w:color="auto"/>
              <w:bottom w:val="single" w:sz="8" w:space="0" w:color="auto"/>
              <w:right w:val="single" w:sz="4"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 </w:t>
            </w:r>
          </w:p>
        </w:tc>
        <w:tc>
          <w:tcPr>
            <w:tcW w:w="25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ΓΝΩΣΤΑ ΕΡΥΘΡΑ  ΜΗ ΕΠΕΞΕΡΓΑΣΜΕΝΑ ΜΕ ΕΝΖΥΜΟ ΓΙΑ ΕΛΕΓΧΟ ΑΛΛΟΑΝΤΙΣΩΜΑΤΩΝ (ΕΜΜΕΣΗ COOMBS)  (3 ΕΡΥΘΡΟΚΥΤΤΑΡΙΚΑ ΔΕΙΓΜΑΤΑ - 12 μηνιαίες συσκευασίες)</w:t>
            </w:r>
          </w:p>
        </w:tc>
        <w:tc>
          <w:tcPr>
            <w:tcW w:w="19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13.03.04.02.001</w:t>
            </w:r>
          </w:p>
        </w:tc>
        <w:tc>
          <w:tcPr>
            <w:tcW w:w="529" w:type="dxa"/>
            <w:tcBorders>
              <w:top w:val="nil"/>
              <w:left w:val="single" w:sz="4" w:space="0" w:color="auto"/>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9</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70</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630</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81,9</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711,9</w:t>
            </w:r>
          </w:p>
        </w:tc>
      </w:tr>
      <w:tr w:rsidR="00BC6F9D" w:rsidRPr="00F026BF" w:rsidTr="002E262D">
        <w:trPr>
          <w:trHeight w:val="113"/>
          <w:jc w:val="center"/>
        </w:trPr>
        <w:tc>
          <w:tcPr>
            <w:tcW w:w="744" w:type="dxa"/>
            <w:tcBorders>
              <w:top w:val="nil"/>
              <w:left w:val="single" w:sz="8" w:space="0" w:color="auto"/>
              <w:bottom w:val="single" w:sz="8" w:space="0" w:color="auto"/>
              <w:right w:val="single" w:sz="4"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23</w:t>
            </w:r>
          </w:p>
        </w:tc>
        <w:tc>
          <w:tcPr>
            <w:tcW w:w="25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 ΓΝΩΣΤΑ ΕΡΥΘΡΟΚΥΤΤΑΡΑ ΕΠΕΞΕΡΓΑΣΜΕΝΑ ΚΑΙ ΜΗ ΕΠΕΞΕΡΓΑΣΜΕΝΑ ΜΕ ΕΝΖΥΜΟ ΓΙΑ ΤΑΥΤΟΠΟΙΗΣΗ ΑΛΛΟΑΝΤΙΣΩΜΑΤΩΝ ΣΕ ΑΥΤΟΜΑΤΟ ΑΝΑΛΥΤΗ (11 +11 ΕΡΥΘΡΟΚΥΤΤΑΡΙΚΑ ΔΕΙΓΜΑΤΑ</w:t>
            </w:r>
          </w:p>
        </w:tc>
        <w:tc>
          <w:tcPr>
            <w:tcW w:w="19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13.03.04.03.002 ΚΑΙ 13.03.04.03.003</w:t>
            </w:r>
          </w:p>
        </w:tc>
        <w:tc>
          <w:tcPr>
            <w:tcW w:w="529" w:type="dxa"/>
            <w:tcBorders>
              <w:top w:val="nil"/>
              <w:left w:val="single" w:sz="4" w:space="0" w:color="auto"/>
              <w:bottom w:val="single" w:sz="8" w:space="0" w:color="auto"/>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ΣΕΤ</w:t>
            </w:r>
          </w:p>
        </w:tc>
        <w:tc>
          <w:tcPr>
            <w:tcW w:w="54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5</w:t>
            </w:r>
          </w:p>
        </w:tc>
        <w:tc>
          <w:tcPr>
            <w:tcW w:w="66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631</w:t>
            </w:r>
          </w:p>
        </w:tc>
        <w:tc>
          <w:tcPr>
            <w:tcW w:w="1092"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3155</w:t>
            </w:r>
          </w:p>
        </w:tc>
        <w:tc>
          <w:tcPr>
            <w:tcW w:w="84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410,15</w:t>
            </w:r>
          </w:p>
        </w:tc>
        <w:tc>
          <w:tcPr>
            <w:tcW w:w="1418" w:type="dxa"/>
            <w:tcBorders>
              <w:top w:val="nil"/>
              <w:left w:val="nil"/>
              <w:bottom w:val="single" w:sz="8" w:space="0" w:color="auto"/>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3565,15</w:t>
            </w:r>
          </w:p>
        </w:tc>
      </w:tr>
      <w:tr w:rsidR="00BC6F9D" w:rsidRPr="00F026BF" w:rsidTr="002E262D">
        <w:trPr>
          <w:trHeight w:val="113"/>
          <w:jc w:val="center"/>
        </w:trPr>
        <w:tc>
          <w:tcPr>
            <w:tcW w:w="744"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24</w:t>
            </w:r>
          </w:p>
        </w:tc>
        <w:tc>
          <w:tcPr>
            <w:tcW w:w="2516"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ΚΑΣΣΕΤΕΣ ΜΕ ΠΟΛΥΔΥΝΑΜΟ ΑΝΤΙΣΦΑΙΡΙΝΙΚΟ ΟΡΟ ΓΙΑ ΑΝΙΧΝΕΥΣΗ ΚΑΙ ΤΑΥΤΟΠΟΙΗΣΗ ΑΝΤΙΕΡΥΘΡΟΚΥΤΤΑΡΙΚΩΝ ΑΝΤΙΣΩΜΑΤΩΝ ΣΕ ΑΣΘΕΝΕΙΣ (ΕΜΜΕΣΗ COOMBS ΜΕ 3 ΕΡΥΘΡΟΚΥΤΤΑΡΙΚΑ ΔΕΙΓΜΑΤΑ)</w:t>
            </w:r>
          </w:p>
        </w:tc>
        <w:tc>
          <w:tcPr>
            <w:tcW w:w="1909" w:type="dxa"/>
            <w:tcBorders>
              <w:top w:val="single" w:sz="4" w:space="0" w:color="auto"/>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13.03.04.02.001</w:t>
            </w:r>
          </w:p>
        </w:tc>
        <w:tc>
          <w:tcPr>
            <w:tcW w:w="52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3600</w:t>
            </w:r>
          </w:p>
        </w:tc>
        <w:tc>
          <w:tcPr>
            <w:tcW w:w="66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0,57</w:t>
            </w:r>
          </w:p>
        </w:tc>
        <w:tc>
          <w:tcPr>
            <w:tcW w:w="10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2052</w:t>
            </w:r>
          </w:p>
        </w:tc>
        <w:tc>
          <w:tcPr>
            <w:tcW w:w="84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266,76</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2318,76</w:t>
            </w: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13.03.04.03.002</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744"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25</w:t>
            </w:r>
          </w:p>
        </w:tc>
        <w:tc>
          <w:tcPr>
            <w:tcW w:w="2516" w:type="dxa"/>
            <w:vMerge w:val="restart"/>
            <w:tcBorders>
              <w:top w:val="nil"/>
              <w:left w:val="single" w:sz="8" w:space="0" w:color="auto"/>
              <w:bottom w:val="single" w:sz="8" w:space="0" w:color="000000"/>
              <w:right w:val="single" w:sz="8" w:space="0" w:color="auto"/>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ΚΑΣΣΕΤΕΣ ΜΕ ΟΥΔΕΤΕΡΟ ΔΙΑΛΥΜΑ ΓΙΑ ΑΝΙΧΝΕΥΣΗ ΚΑΙ ΤΑΥΤΟΠΟΙΗΣΗ ΑΝΤΙΕΡΥΘΡΟΚΥΤΤΑΡΙΚΩΝ ΑΝΤΙΣΩΜΑΤΩΝ ΣΕ ΜΕ 3 ΕΡΥΘΡΟΚΥΤΤΑΡΙΚΑ ΔΕΙΓΜΑΤΑ ΕΠΕΞΕΡΓΑΣΜΕΝΑ ΜΕ ΕΝΖΥΜΟ) </w:t>
            </w:r>
          </w:p>
        </w:tc>
        <w:tc>
          <w:tcPr>
            <w:tcW w:w="1909" w:type="dxa"/>
            <w:tcBorders>
              <w:top w:val="nil"/>
              <w:left w:val="nil"/>
              <w:bottom w:val="nil"/>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13.03.04.03.001</w:t>
            </w:r>
          </w:p>
        </w:tc>
        <w:tc>
          <w:tcPr>
            <w:tcW w:w="52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720</w:t>
            </w:r>
          </w:p>
        </w:tc>
        <w:tc>
          <w:tcPr>
            <w:tcW w:w="66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0,58</w:t>
            </w:r>
          </w:p>
        </w:tc>
        <w:tc>
          <w:tcPr>
            <w:tcW w:w="10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417,6</w:t>
            </w:r>
          </w:p>
        </w:tc>
        <w:tc>
          <w:tcPr>
            <w:tcW w:w="84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54,288</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471,888</w:t>
            </w:r>
          </w:p>
        </w:tc>
      </w:tr>
      <w:tr w:rsidR="00BC6F9D" w:rsidRPr="00F026BF" w:rsidTr="002E262D">
        <w:trPr>
          <w:trHeight w:val="113"/>
          <w:jc w:val="center"/>
        </w:trPr>
        <w:tc>
          <w:tcPr>
            <w:tcW w:w="744"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b/>
                <w:bCs/>
                <w:sz w:val="16"/>
                <w:szCs w:val="16"/>
              </w:rPr>
            </w:pPr>
          </w:p>
        </w:tc>
        <w:tc>
          <w:tcPr>
            <w:tcW w:w="2516"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909" w:type="dxa"/>
            <w:tcBorders>
              <w:top w:val="nil"/>
              <w:left w:val="nil"/>
              <w:bottom w:val="single" w:sz="8" w:space="0" w:color="auto"/>
              <w:right w:val="single" w:sz="8" w:space="0" w:color="auto"/>
            </w:tcBorders>
            <w:shd w:val="clear" w:color="auto" w:fill="auto"/>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13.03.04.03.003</w:t>
            </w:r>
          </w:p>
        </w:tc>
        <w:tc>
          <w:tcPr>
            <w:tcW w:w="529"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54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66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092"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84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961"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c>
          <w:tcPr>
            <w:tcW w:w="1418" w:type="dxa"/>
            <w:vMerge/>
            <w:tcBorders>
              <w:top w:val="nil"/>
              <w:left w:val="single" w:sz="8" w:space="0" w:color="auto"/>
              <w:bottom w:val="single" w:sz="8" w:space="0" w:color="000000"/>
              <w:right w:val="single" w:sz="8" w:space="0" w:color="auto"/>
            </w:tcBorders>
            <w:vAlign w:val="center"/>
            <w:hideMark/>
          </w:tcPr>
          <w:p w:rsidR="00BC6F9D" w:rsidRPr="00F026BF" w:rsidRDefault="00BC6F9D" w:rsidP="002E262D">
            <w:pPr>
              <w:rPr>
                <w:rFonts w:ascii="Calibri" w:eastAsia="Times New Roman" w:hAnsi="Calibri" w:cs="Times New Roman"/>
                <w:sz w:val="16"/>
                <w:szCs w:val="16"/>
              </w:rPr>
            </w:pPr>
          </w:p>
        </w:tc>
      </w:tr>
      <w:tr w:rsidR="00BC6F9D" w:rsidRPr="00F026BF" w:rsidTr="002E262D">
        <w:trPr>
          <w:trHeight w:val="113"/>
          <w:jc w:val="center"/>
        </w:trPr>
        <w:tc>
          <w:tcPr>
            <w:tcW w:w="11220" w:type="dxa"/>
            <w:gridSpan w:val="10"/>
            <w:tcBorders>
              <w:top w:val="single" w:sz="8" w:space="0" w:color="auto"/>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center"/>
              <w:rPr>
                <w:rFonts w:ascii="Calibri" w:eastAsia="Times New Roman" w:hAnsi="Calibri" w:cs="Times New Roman"/>
                <w:b/>
                <w:bCs/>
                <w:sz w:val="16"/>
                <w:szCs w:val="16"/>
              </w:rPr>
            </w:pPr>
            <w:r w:rsidRPr="00F026BF">
              <w:rPr>
                <w:rFonts w:ascii="Calibri" w:eastAsia="Times New Roman" w:hAnsi="Calibri" w:cs="Times New Roman"/>
                <w:b/>
                <w:bCs/>
                <w:sz w:val="16"/>
                <w:szCs w:val="16"/>
              </w:rPr>
              <w:t>ΔΟΚΙΜΑΣΙΑ ΣΥΜΒΑΤΟΤΗΤΑΣ ΑΙΜΑΤΟΣ ( ΣΕ 37C ΚΑΙ ΣΕ ΠΕΡΙΒΑΛΛΟΝ ) ΣΕ ΑΥΤΟΜΑΤΟ ΑΝΑΛΥΤΗ   ΣΕ ΚΑΣΣΕΤΕΣ ΜΕ ΣΤΗΛΕΣ ΑΙΜΟΣΥΓΚΟΛΗΣΗΣ</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Α/Α</w:t>
            </w:r>
          </w:p>
        </w:tc>
        <w:tc>
          <w:tcPr>
            <w:tcW w:w="2516" w:type="dxa"/>
            <w:tcBorders>
              <w:top w:val="nil"/>
              <w:left w:val="nil"/>
              <w:bottom w:val="single" w:sz="8" w:space="0" w:color="000000"/>
              <w:right w:val="single" w:sz="8" w:space="0" w:color="000000"/>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ΠΕΡΙΓΡΑΦΗ</w:t>
            </w:r>
          </w:p>
        </w:tc>
        <w:tc>
          <w:tcPr>
            <w:tcW w:w="1909" w:type="dxa"/>
            <w:tcBorders>
              <w:top w:val="nil"/>
              <w:left w:val="nil"/>
              <w:bottom w:val="single" w:sz="8" w:space="0" w:color="000000"/>
              <w:right w:val="single" w:sz="8" w:space="0" w:color="000000"/>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ΜΜ</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ΠΟΣ</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ΤΙΜΗ</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ΣΥΝΟΛΟ</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ΦΠΑ 24%</w:t>
            </w:r>
          </w:p>
        </w:tc>
        <w:tc>
          <w:tcPr>
            <w:tcW w:w="1418" w:type="dxa"/>
            <w:tcBorders>
              <w:top w:val="nil"/>
              <w:left w:val="nil"/>
              <w:bottom w:val="single" w:sz="8" w:space="0" w:color="000000"/>
              <w:right w:val="single" w:sz="8" w:space="0" w:color="000000"/>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ΤΕΛΙΚΟ ΣΥΝΟΛΟ </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27</w:t>
            </w:r>
          </w:p>
        </w:tc>
        <w:tc>
          <w:tcPr>
            <w:tcW w:w="2516" w:type="dxa"/>
            <w:tcBorders>
              <w:top w:val="nil"/>
              <w:left w:val="nil"/>
              <w:bottom w:val="single" w:sz="8" w:space="0" w:color="000000"/>
              <w:right w:val="nil"/>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ΔΟΚΙΜΑΣΙΑ ΣΥΜΒΑΤΟΤΗΤΑΣ ΜΕ ΠΟΛΥΔΥΝΑΜΟ ΑΝΤΙΑΝΘΡΩΠΙΝΟ ΟΡΟ  ΣΕ ΚΑΣΣΕΤΕΣ  ΜΕ ΣΤΗΛΕΣ </w:t>
            </w:r>
            <w:r w:rsidRPr="00F026BF">
              <w:rPr>
                <w:rFonts w:ascii="Calibri" w:eastAsia="Times New Roman" w:hAnsi="Calibri" w:cs="Times New Roman"/>
                <w:sz w:val="16"/>
                <w:szCs w:val="16"/>
              </w:rPr>
              <w:lastRenderedPageBreak/>
              <w:t>ΑΙΜΟΣΥΓΚΟΛΗΣΗΣ</w:t>
            </w:r>
          </w:p>
        </w:tc>
        <w:tc>
          <w:tcPr>
            <w:tcW w:w="1909" w:type="dxa"/>
            <w:tcBorders>
              <w:top w:val="nil"/>
              <w:left w:val="single" w:sz="8" w:space="0" w:color="000000"/>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lastRenderedPageBreak/>
              <w:t>13.03.04.30.001</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5400</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0,57</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3078</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400,14</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3478,14</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lastRenderedPageBreak/>
              <w:t>28</w:t>
            </w:r>
          </w:p>
        </w:tc>
        <w:tc>
          <w:tcPr>
            <w:tcW w:w="2516" w:type="dxa"/>
            <w:tcBorders>
              <w:top w:val="nil"/>
              <w:left w:val="nil"/>
              <w:bottom w:val="single" w:sz="8" w:space="0" w:color="000000"/>
              <w:right w:val="nil"/>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ΔΟΚΙΜΑΣΙΑ ΣΥΜΒΑΤΟΤΗΤΑΣ ΣΕ  ΠΕΡΙΒΑΛΛΟΝ ΣΕ ΚΑΣΣΕΤΕΣ  ΜΕ ΣΤΗΛΕΣ ΑΙΜΟΣΥΓΚΟΛΗΣΗΣ(ABO REVERSE GROUP)</w:t>
            </w:r>
          </w:p>
        </w:tc>
        <w:tc>
          <w:tcPr>
            <w:tcW w:w="1909" w:type="dxa"/>
            <w:tcBorders>
              <w:top w:val="nil"/>
              <w:left w:val="single" w:sz="8" w:space="0" w:color="000000"/>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13.03.04.30.001</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4800</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0,57</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2736</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13%</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355,68</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3091,68</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29</w:t>
            </w:r>
          </w:p>
        </w:tc>
        <w:tc>
          <w:tcPr>
            <w:tcW w:w="2516" w:type="dxa"/>
            <w:tcBorders>
              <w:top w:val="nil"/>
              <w:left w:val="nil"/>
              <w:bottom w:val="single" w:sz="8" w:space="0" w:color="000000"/>
              <w:right w:val="nil"/>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 xml:space="preserve">ΔΙΑΛΥΜΑ ΧΑΜΗΛΗΣ ΙΟΝΤΙΚΗΣ ΙΣΧΥΟΣ ΓΙΑ ΤΗΝ ΔΟΚΙΜΑΣΙΑ ΣΥΜΑΒΤΟΤΗΤΑΣ ΣΕ ΑΥΤΟΜΑΤΟ ΑΝΑΛΥΤΗ ΣΕ ΚΑΣΕΤΕΣ ΜΕ ΣΤΗΛΕΣ ΑΙΜΟΣΥΓΚΟΛΗΣΗΣ </w:t>
            </w:r>
          </w:p>
        </w:tc>
        <w:tc>
          <w:tcPr>
            <w:tcW w:w="1909" w:type="dxa"/>
            <w:tcBorders>
              <w:top w:val="nil"/>
              <w:left w:val="single" w:sz="8" w:space="0" w:color="000000"/>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13.03.04.30.001</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6800</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0,051</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346,8</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24%</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83,232</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430,032</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30</w:t>
            </w:r>
          </w:p>
        </w:tc>
        <w:tc>
          <w:tcPr>
            <w:tcW w:w="2516" w:type="dxa"/>
            <w:tcBorders>
              <w:top w:val="nil"/>
              <w:left w:val="nil"/>
              <w:bottom w:val="single" w:sz="8" w:space="0" w:color="000000"/>
              <w:right w:val="nil"/>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ΑΜΕΣΗ COOMBS  ΣΕ ΚΑΣΕΤΕΣ  ΜΕ ΣΤΗΛΕΣ ΑΙΜΟΣΥΓΚΟΛΗΣΗΣ ΠΟΥ ΠΕΡΙΕΧΟΥΝ ΠΟΛΥΔΥΝΑΜΟ ΑΝΤΙΣΦΑΙΡΙΝΙΚΟ ΟΡΟ)</w:t>
            </w:r>
          </w:p>
        </w:tc>
        <w:tc>
          <w:tcPr>
            <w:tcW w:w="1909" w:type="dxa"/>
            <w:tcBorders>
              <w:top w:val="nil"/>
              <w:left w:val="single" w:sz="8" w:space="0" w:color="000000"/>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13.03.04.20.001</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1200</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0,57</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684</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41,04</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725,04</w:t>
            </w:r>
          </w:p>
        </w:tc>
      </w:tr>
      <w:tr w:rsidR="00BC6F9D" w:rsidRPr="00F026BF"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31</w:t>
            </w:r>
          </w:p>
        </w:tc>
        <w:tc>
          <w:tcPr>
            <w:tcW w:w="2516" w:type="dxa"/>
            <w:tcBorders>
              <w:top w:val="nil"/>
              <w:left w:val="nil"/>
              <w:bottom w:val="single" w:sz="8" w:space="0" w:color="auto"/>
              <w:right w:val="nil"/>
            </w:tcBorders>
            <w:shd w:val="clear" w:color="auto" w:fill="auto"/>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ΚΑΣΣΕΤΕΣ ΓΙΑ ΔΙΑΦΟΡΟΠΟΙΗΣΗ ΑΜΕΣΗΣ COOMBS</w:t>
            </w:r>
          </w:p>
        </w:tc>
        <w:tc>
          <w:tcPr>
            <w:tcW w:w="1909" w:type="dxa"/>
            <w:tcBorders>
              <w:top w:val="nil"/>
              <w:left w:val="single" w:sz="8" w:space="0" w:color="000000"/>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sz w:val="16"/>
                <w:szCs w:val="16"/>
              </w:rPr>
            </w:pPr>
            <w:r w:rsidRPr="00F026BF">
              <w:rPr>
                <w:rFonts w:ascii="Calibri" w:eastAsia="Times New Roman" w:hAnsi="Calibri"/>
                <w:sz w:val="16"/>
                <w:szCs w:val="16"/>
              </w:rPr>
              <w:t>13.03.04.21.001</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rPr>
                <w:rFonts w:ascii="Calibri" w:eastAsia="Times New Roman" w:hAnsi="Calibri" w:cs="Times New Roman"/>
                <w:sz w:val="16"/>
                <w:szCs w:val="16"/>
              </w:rPr>
            </w:pPr>
            <w:r w:rsidRPr="00F026BF">
              <w:rPr>
                <w:rFonts w:ascii="Calibri" w:eastAsia="Times New Roman" w:hAnsi="Calibri" w:cs="Times New Roman"/>
                <w:sz w:val="16"/>
                <w:szCs w:val="16"/>
              </w:rPr>
              <w:t>ΕΞΕΤ</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80</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1,8</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144</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6%</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8,64</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026BF" w:rsidRDefault="00BC6F9D" w:rsidP="002E262D">
            <w:pPr>
              <w:jc w:val="right"/>
              <w:rPr>
                <w:rFonts w:ascii="Calibri" w:eastAsia="Times New Roman" w:hAnsi="Calibri" w:cs="Times New Roman"/>
                <w:sz w:val="16"/>
                <w:szCs w:val="16"/>
              </w:rPr>
            </w:pPr>
            <w:r w:rsidRPr="00F026BF">
              <w:rPr>
                <w:rFonts w:ascii="Calibri" w:eastAsia="Times New Roman" w:hAnsi="Calibri" w:cs="Times New Roman"/>
                <w:sz w:val="16"/>
                <w:szCs w:val="16"/>
              </w:rPr>
              <w:t>152,64</w:t>
            </w:r>
          </w:p>
        </w:tc>
      </w:tr>
      <w:tr w:rsidR="00BC6F9D" w:rsidRPr="00F8049A" w:rsidTr="002E262D">
        <w:trPr>
          <w:trHeight w:val="113"/>
          <w:jc w:val="center"/>
        </w:trPr>
        <w:tc>
          <w:tcPr>
            <w:tcW w:w="744" w:type="dxa"/>
            <w:tcBorders>
              <w:top w:val="nil"/>
              <w:left w:val="single" w:sz="8" w:space="0" w:color="000000"/>
              <w:bottom w:val="single" w:sz="8" w:space="0" w:color="000000"/>
              <w:right w:val="single" w:sz="8" w:space="0" w:color="000000"/>
            </w:tcBorders>
            <w:shd w:val="clear" w:color="auto" w:fill="auto"/>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w:t>
            </w:r>
          </w:p>
        </w:tc>
        <w:tc>
          <w:tcPr>
            <w:tcW w:w="2516" w:type="dxa"/>
            <w:tcBorders>
              <w:top w:val="nil"/>
              <w:left w:val="nil"/>
              <w:bottom w:val="single" w:sz="8" w:space="0" w:color="000000"/>
              <w:right w:val="nil"/>
            </w:tcBorders>
            <w:shd w:val="clear" w:color="auto" w:fill="auto"/>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w:t>
            </w:r>
          </w:p>
        </w:tc>
        <w:tc>
          <w:tcPr>
            <w:tcW w:w="1909" w:type="dxa"/>
            <w:tcBorders>
              <w:top w:val="nil"/>
              <w:left w:val="single" w:sz="8" w:space="0" w:color="000000"/>
              <w:bottom w:val="single" w:sz="8" w:space="0" w:color="000000"/>
              <w:right w:val="single" w:sz="8" w:space="0" w:color="000000"/>
            </w:tcBorders>
            <w:shd w:val="clear" w:color="auto" w:fill="auto"/>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ΣΥΝΟΛΟ</w:t>
            </w:r>
          </w:p>
        </w:tc>
        <w:tc>
          <w:tcPr>
            <w:tcW w:w="529"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w:t>
            </w:r>
          </w:p>
        </w:tc>
        <w:tc>
          <w:tcPr>
            <w:tcW w:w="541"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w:t>
            </w:r>
          </w:p>
        </w:tc>
        <w:tc>
          <w:tcPr>
            <w:tcW w:w="662"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rPr>
                <w:rFonts w:ascii="Calibri" w:eastAsia="Times New Roman" w:hAnsi="Calibri" w:cs="Times New Roman"/>
                <w:b/>
                <w:sz w:val="16"/>
                <w:szCs w:val="16"/>
              </w:rPr>
            </w:pPr>
            <w:r w:rsidRPr="00F8049A">
              <w:rPr>
                <w:rFonts w:ascii="Calibri" w:eastAsia="Times New Roman" w:hAnsi="Calibri" w:cs="Times New Roman"/>
                <w:b/>
                <w:sz w:val="16"/>
                <w:szCs w:val="16"/>
              </w:rPr>
              <w:t> </w:t>
            </w:r>
          </w:p>
        </w:tc>
        <w:tc>
          <w:tcPr>
            <w:tcW w:w="1092"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jc w:val="right"/>
              <w:rPr>
                <w:rFonts w:ascii="Calibri" w:eastAsia="Times New Roman" w:hAnsi="Calibri" w:cs="Times New Roman"/>
                <w:b/>
                <w:bCs/>
                <w:sz w:val="16"/>
                <w:szCs w:val="16"/>
              </w:rPr>
            </w:pPr>
            <w:r w:rsidRPr="00F8049A">
              <w:rPr>
                <w:rFonts w:ascii="Calibri" w:eastAsia="Times New Roman" w:hAnsi="Calibri" w:cs="Times New Roman"/>
                <w:b/>
                <w:bCs/>
                <w:sz w:val="16"/>
                <w:szCs w:val="16"/>
              </w:rPr>
              <w:t>54.026,30</w:t>
            </w:r>
          </w:p>
        </w:tc>
        <w:tc>
          <w:tcPr>
            <w:tcW w:w="848"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rPr>
                <w:rFonts w:ascii="Calibri" w:eastAsia="Times New Roman" w:hAnsi="Calibri" w:cs="Times New Roman"/>
                <w:b/>
                <w:bCs/>
                <w:sz w:val="16"/>
                <w:szCs w:val="16"/>
              </w:rPr>
            </w:pPr>
            <w:r w:rsidRPr="00F8049A">
              <w:rPr>
                <w:rFonts w:ascii="Calibri" w:eastAsia="Times New Roman" w:hAnsi="Calibri" w:cs="Times New Roman"/>
                <w:b/>
                <w:bCs/>
                <w:sz w:val="16"/>
                <w:szCs w:val="16"/>
              </w:rPr>
              <w:t> </w:t>
            </w:r>
          </w:p>
        </w:tc>
        <w:tc>
          <w:tcPr>
            <w:tcW w:w="961"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jc w:val="right"/>
              <w:rPr>
                <w:rFonts w:ascii="Calibri" w:eastAsia="Times New Roman" w:hAnsi="Calibri" w:cs="Times New Roman"/>
                <w:b/>
                <w:bCs/>
                <w:sz w:val="16"/>
                <w:szCs w:val="16"/>
              </w:rPr>
            </w:pPr>
            <w:r w:rsidRPr="00F8049A">
              <w:rPr>
                <w:rFonts w:ascii="Calibri" w:eastAsia="Times New Roman" w:hAnsi="Calibri" w:cs="Times New Roman"/>
                <w:b/>
                <w:bCs/>
                <w:sz w:val="16"/>
                <w:szCs w:val="16"/>
              </w:rPr>
              <w:t>4.548,93</w:t>
            </w:r>
          </w:p>
        </w:tc>
        <w:tc>
          <w:tcPr>
            <w:tcW w:w="1418" w:type="dxa"/>
            <w:tcBorders>
              <w:top w:val="nil"/>
              <w:left w:val="nil"/>
              <w:bottom w:val="single" w:sz="8" w:space="0" w:color="000000"/>
              <w:right w:val="single" w:sz="8" w:space="0" w:color="000000"/>
            </w:tcBorders>
            <w:shd w:val="clear" w:color="auto" w:fill="auto"/>
            <w:noWrap/>
            <w:vAlign w:val="bottom"/>
            <w:hideMark/>
          </w:tcPr>
          <w:p w:rsidR="00BC6F9D" w:rsidRPr="00F8049A" w:rsidRDefault="00BC6F9D" w:rsidP="002E262D">
            <w:pPr>
              <w:jc w:val="right"/>
              <w:rPr>
                <w:rFonts w:ascii="Calibri" w:eastAsia="Times New Roman" w:hAnsi="Calibri" w:cs="Times New Roman"/>
                <w:b/>
                <w:bCs/>
                <w:sz w:val="16"/>
                <w:szCs w:val="16"/>
              </w:rPr>
            </w:pPr>
            <w:r w:rsidRPr="00F8049A">
              <w:rPr>
                <w:rFonts w:ascii="Calibri" w:eastAsia="Times New Roman" w:hAnsi="Calibri" w:cs="Times New Roman"/>
                <w:b/>
                <w:bCs/>
                <w:sz w:val="16"/>
                <w:szCs w:val="16"/>
              </w:rPr>
              <w:t>58.575,23</w:t>
            </w:r>
          </w:p>
        </w:tc>
      </w:tr>
    </w:tbl>
    <w:p w:rsidR="00BC6F9D" w:rsidRDefault="00BC6F9D" w:rsidP="00BC6F9D">
      <w:pPr>
        <w:rPr>
          <w:rStyle w:val="100"/>
          <w:b/>
          <w:bCs/>
        </w:rPr>
      </w:pPr>
      <w:r>
        <w:rPr>
          <w:rStyle w:val="100"/>
        </w:rPr>
        <w:br w:type="page"/>
      </w:r>
    </w:p>
    <w:p w:rsidR="00BC6F9D" w:rsidRPr="003E462C" w:rsidRDefault="00BC6F9D" w:rsidP="00BC6F9D">
      <w:pPr>
        <w:pStyle w:val="1"/>
        <w:spacing w:before="0"/>
      </w:pPr>
      <w:bookmarkStart w:id="2" w:name="_Toc35257628"/>
      <w:r w:rsidRPr="003E462C">
        <w:lastRenderedPageBreak/>
        <w:t>ΠΑΡΑΡΤΗΜΑ Γ΄</w:t>
      </w:r>
      <w:r>
        <w:t xml:space="preserve"> - </w:t>
      </w:r>
      <w:r w:rsidRPr="003E462C">
        <w:t>ΦΥΛΛΟ ΣΥΜΜΟΡΦΩΣΗΣ</w:t>
      </w:r>
      <w:bookmarkEnd w:id="2"/>
    </w:p>
    <w:tbl>
      <w:tblPr>
        <w:tblW w:w="9513" w:type="dxa"/>
        <w:tblLook w:val="00A0"/>
      </w:tblPr>
      <w:tblGrid>
        <w:gridCol w:w="640"/>
        <w:gridCol w:w="4984"/>
        <w:gridCol w:w="1183"/>
        <w:gridCol w:w="1239"/>
        <w:gridCol w:w="1467"/>
      </w:tblGrid>
      <w:tr w:rsidR="00BC6F9D" w:rsidRPr="00A61ED9" w:rsidTr="002E262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C6F9D" w:rsidRPr="00A61ED9" w:rsidRDefault="00BC6F9D" w:rsidP="002E262D">
            <w:pPr>
              <w:spacing w:line="360" w:lineRule="auto"/>
              <w:jc w:val="center"/>
              <w:rPr>
                <w:rFonts w:asciiTheme="majorHAnsi" w:hAnsiTheme="majorHAnsi"/>
                <w:b/>
                <w:bCs/>
                <w:sz w:val="20"/>
                <w:szCs w:val="20"/>
              </w:rPr>
            </w:pPr>
          </w:p>
          <w:p w:rsidR="00BC6F9D" w:rsidRPr="00A61ED9" w:rsidRDefault="00BC6F9D" w:rsidP="002E262D">
            <w:pPr>
              <w:spacing w:line="360" w:lineRule="auto"/>
              <w:jc w:val="center"/>
              <w:rPr>
                <w:rFonts w:asciiTheme="majorHAnsi" w:hAnsiTheme="majorHAnsi"/>
                <w:b/>
                <w:bCs/>
                <w:sz w:val="20"/>
                <w:szCs w:val="20"/>
              </w:rPr>
            </w:pPr>
          </w:p>
          <w:p w:rsidR="00BC6F9D" w:rsidRPr="00A61ED9" w:rsidRDefault="00BC6F9D" w:rsidP="002E262D">
            <w:pPr>
              <w:spacing w:line="360" w:lineRule="auto"/>
              <w:jc w:val="center"/>
              <w:rPr>
                <w:rFonts w:asciiTheme="majorHAnsi" w:hAnsiTheme="majorHAnsi"/>
                <w:b/>
                <w:bCs/>
                <w:sz w:val="20"/>
                <w:szCs w:val="20"/>
              </w:rPr>
            </w:pPr>
          </w:p>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BC6F9D" w:rsidRPr="00A61ED9" w:rsidTr="002E262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r>
      <w:tr w:rsidR="00BC6F9D" w:rsidRPr="00A61ED9" w:rsidTr="002E262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C6F9D" w:rsidRPr="00A61ED9" w:rsidRDefault="00BC6F9D" w:rsidP="002E262D">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6F9D" w:rsidRPr="00A61ED9" w:rsidRDefault="00BC6F9D" w:rsidP="002E262D">
            <w:pPr>
              <w:spacing w:line="360" w:lineRule="auto"/>
              <w:rPr>
                <w:rFonts w:asciiTheme="majorHAnsi" w:hAnsiTheme="majorHAnsi"/>
                <w:b/>
                <w:bCs/>
                <w:sz w:val="20"/>
                <w:szCs w:val="20"/>
              </w:rPr>
            </w:pPr>
          </w:p>
        </w:tc>
      </w:tr>
      <w:tr w:rsidR="00BC6F9D" w:rsidRPr="00A61ED9" w:rsidTr="002E262D">
        <w:trPr>
          <w:trHeight w:val="657"/>
        </w:trPr>
        <w:tc>
          <w:tcPr>
            <w:tcW w:w="640" w:type="dxa"/>
            <w:tcBorders>
              <w:top w:val="nil"/>
              <w:left w:val="single" w:sz="4" w:space="0" w:color="auto"/>
              <w:bottom w:val="single" w:sz="4" w:space="0" w:color="auto"/>
              <w:right w:val="single" w:sz="4" w:space="0" w:color="auto"/>
            </w:tcBorders>
            <w:noWrap/>
          </w:tcPr>
          <w:p w:rsidR="00BC6F9D" w:rsidRPr="00A61ED9" w:rsidRDefault="00BC6F9D" w:rsidP="002E262D">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BC6F9D" w:rsidRPr="00A61ED9" w:rsidRDefault="00BC6F9D" w:rsidP="002E262D">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BC6F9D" w:rsidRPr="00A61ED9" w:rsidRDefault="00BC6F9D" w:rsidP="002E262D">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BC6F9D" w:rsidRPr="00A61ED9" w:rsidRDefault="00BC6F9D" w:rsidP="002E262D">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BC6F9D" w:rsidRPr="00A61ED9" w:rsidRDefault="00BC6F9D" w:rsidP="002E262D">
            <w:pPr>
              <w:spacing w:line="360" w:lineRule="auto"/>
              <w:rPr>
                <w:rFonts w:asciiTheme="majorHAnsi" w:hAnsiTheme="majorHAnsi"/>
                <w:sz w:val="20"/>
                <w:szCs w:val="20"/>
              </w:rPr>
            </w:pPr>
            <w:r w:rsidRPr="00A61ED9">
              <w:rPr>
                <w:rFonts w:asciiTheme="majorHAnsi" w:hAnsiTheme="majorHAnsi"/>
                <w:sz w:val="20"/>
                <w:szCs w:val="20"/>
              </w:rPr>
              <w:t> </w:t>
            </w:r>
          </w:p>
        </w:tc>
      </w:tr>
    </w:tbl>
    <w:p w:rsidR="00BC6F9D" w:rsidRPr="003E462C" w:rsidRDefault="00BC6F9D" w:rsidP="00BC6F9D">
      <w:pPr>
        <w:spacing w:line="360" w:lineRule="auto"/>
        <w:rPr>
          <w:rFonts w:asciiTheme="minorHAnsi" w:hAnsiTheme="minorHAnsi"/>
          <w:b/>
          <w:bCs/>
          <w:sz w:val="20"/>
          <w:szCs w:val="20"/>
        </w:rPr>
      </w:pPr>
    </w:p>
    <w:p w:rsidR="00BC6F9D" w:rsidRPr="00A61ED9" w:rsidRDefault="00BC6F9D" w:rsidP="00BC6F9D">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BC6F9D" w:rsidRPr="00A61ED9" w:rsidRDefault="00BC6F9D" w:rsidP="00BC6F9D">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BC6F9D" w:rsidRPr="00A61ED9" w:rsidRDefault="00BC6F9D" w:rsidP="00BC6F9D">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C6F9D" w:rsidRDefault="00BC6F9D" w:rsidP="00BC6F9D">
      <w:pPr>
        <w:spacing w:line="360" w:lineRule="auto"/>
        <w:ind w:right="368"/>
        <w:jc w:val="both"/>
        <w:rPr>
          <w:rFonts w:asciiTheme="majorHAnsi" w:eastAsiaTheme="majorEastAsia" w:hAnsiTheme="majorHAnsi" w:cstheme="majorBidi"/>
          <w:b/>
          <w:bCs/>
          <w:color w:val="auto"/>
          <w:sz w:val="28"/>
          <w:szCs w:val="28"/>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br w:type="page"/>
      </w:r>
    </w:p>
    <w:p w:rsidR="00BC6F9D" w:rsidRPr="00F26890" w:rsidRDefault="00BC6F9D" w:rsidP="00BC6F9D">
      <w:pPr>
        <w:pStyle w:val="1"/>
        <w:spacing w:before="0"/>
      </w:pPr>
      <w:bookmarkStart w:id="3" w:name="_Toc35257629"/>
      <w:r w:rsidRPr="00F26890">
        <w:lastRenderedPageBreak/>
        <w:t>ΠΑΡΑΡΤΗΜΑ Δ΄ ΤΥΠΟΠΟΙΗΜΕΝΟ ΕΝΤΥΠΟ ΥΠΕΥΘΥΝΗΣ ΔΗΛΩΣΗΣ (TEΥΔ)</w:t>
      </w:r>
      <w:bookmarkEnd w:id="3"/>
    </w:p>
    <w:p w:rsidR="00BC6F9D" w:rsidRPr="00F26890" w:rsidRDefault="00BC6F9D" w:rsidP="00BC6F9D">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BC6F9D" w:rsidRPr="00F26890" w:rsidRDefault="00BC6F9D" w:rsidP="00BC6F9D">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BC6F9D" w:rsidRPr="00F26890" w:rsidRDefault="00BC6F9D" w:rsidP="00BC6F9D">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2"/>
      </w:r>
      <w:r w:rsidRPr="00F26890">
        <w:rPr>
          <w:rFonts w:asciiTheme="majorHAnsi" w:hAnsiTheme="majorHAnsi"/>
          <w:b/>
          <w:bCs/>
          <w:sz w:val="22"/>
          <w:szCs w:val="22"/>
          <w:u w:val="single"/>
        </w:rPr>
        <w:t xml:space="preserve">  και τη διαδικασία ανάθεσης</w:t>
      </w:r>
    </w:p>
    <w:p w:rsidR="00BC6F9D" w:rsidRPr="00F26890" w:rsidRDefault="00BC6F9D" w:rsidP="00BC6F9D">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BC6F9D" w:rsidRPr="00F26890" w:rsidTr="002E262D">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BC6F9D" w:rsidRPr="00F26890" w:rsidRDefault="00BC6F9D" w:rsidP="002E262D">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BC6F9D" w:rsidRPr="00F26890" w:rsidRDefault="00BC6F9D" w:rsidP="002E262D">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BC6F9D" w:rsidRPr="00F26890" w:rsidRDefault="00BC6F9D" w:rsidP="002E262D">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BC6F9D" w:rsidRPr="00F26890" w:rsidRDefault="00BC6F9D" w:rsidP="002E262D">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BC6F9D" w:rsidRPr="00F26890" w:rsidRDefault="00BC6F9D" w:rsidP="002E262D">
            <w:pPr>
              <w:rPr>
                <w:rFonts w:asciiTheme="majorHAnsi" w:hAnsiTheme="majorHAnsi"/>
              </w:rPr>
            </w:pPr>
            <w:r w:rsidRPr="00F26890">
              <w:rPr>
                <w:rFonts w:asciiTheme="majorHAnsi" w:hAnsiTheme="majorHAnsi"/>
                <w:sz w:val="22"/>
                <w:szCs w:val="22"/>
              </w:rPr>
              <w:t xml:space="preserve">- Αρμόδιος για πληροφορίες: </w:t>
            </w:r>
            <w:r>
              <w:rPr>
                <w:rFonts w:asciiTheme="majorHAnsi" w:hAnsiTheme="majorHAnsi"/>
                <w:sz w:val="22"/>
                <w:szCs w:val="22"/>
              </w:rPr>
              <w:t>Ευαγγελία Κοξαρά</w:t>
            </w:r>
          </w:p>
          <w:p w:rsidR="00BC6F9D" w:rsidRPr="00F26890" w:rsidRDefault="00BC6F9D" w:rsidP="002E262D">
            <w:pPr>
              <w:rPr>
                <w:rFonts w:asciiTheme="majorHAnsi" w:hAnsiTheme="majorHAnsi"/>
              </w:rPr>
            </w:pPr>
            <w:r w:rsidRPr="00F26890">
              <w:rPr>
                <w:rFonts w:asciiTheme="majorHAnsi" w:hAnsiTheme="majorHAnsi"/>
                <w:sz w:val="22"/>
                <w:szCs w:val="22"/>
              </w:rPr>
              <w:t xml:space="preserve">- Τηλέφωνο: </w:t>
            </w:r>
            <w:r>
              <w:rPr>
                <w:rFonts w:asciiTheme="majorHAnsi" w:hAnsiTheme="majorHAnsi"/>
                <w:sz w:val="22"/>
                <w:szCs w:val="22"/>
              </w:rPr>
              <w:t>2841343174</w:t>
            </w:r>
          </w:p>
          <w:p w:rsidR="00BC6F9D" w:rsidRPr="00BB614A" w:rsidRDefault="00BC6F9D" w:rsidP="002E262D">
            <w:pPr>
              <w:rPr>
                <w:rFonts w:asciiTheme="majorHAnsi" w:hAnsiTheme="majorHAnsi"/>
              </w:rPr>
            </w:pPr>
            <w:r w:rsidRPr="00F26890">
              <w:rPr>
                <w:rFonts w:asciiTheme="majorHAnsi" w:hAnsiTheme="majorHAnsi"/>
                <w:sz w:val="22"/>
                <w:szCs w:val="22"/>
              </w:rPr>
              <w:t xml:space="preserve">- Ηλ. ταχυδρομείο: </w:t>
            </w:r>
            <w:r>
              <w:rPr>
                <w:rFonts w:asciiTheme="majorHAnsi" w:hAnsiTheme="majorHAnsi"/>
                <w:sz w:val="22"/>
                <w:szCs w:val="22"/>
                <w:lang w:val="en-US"/>
              </w:rPr>
              <w:t>gkoxara</w:t>
            </w:r>
            <w:r w:rsidRPr="00BB614A">
              <w:rPr>
                <w:rFonts w:asciiTheme="majorHAnsi" w:hAnsiTheme="majorHAnsi"/>
                <w:sz w:val="22"/>
                <w:szCs w:val="22"/>
              </w:rPr>
              <w:t>@</w:t>
            </w:r>
            <w:r>
              <w:rPr>
                <w:rFonts w:asciiTheme="majorHAnsi" w:hAnsiTheme="majorHAnsi"/>
                <w:sz w:val="22"/>
                <w:szCs w:val="22"/>
                <w:lang w:val="en-US"/>
              </w:rPr>
              <w:t>agnhosp</w:t>
            </w:r>
            <w:r w:rsidRPr="00BB614A">
              <w:rPr>
                <w:rFonts w:asciiTheme="majorHAnsi" w:hAnsiTheme="majorHAnsi"/>
                <w:sz w:val="22"/>
                <w:szCs w:val="22"/>
              </w:rPr>
              <w:t>.</w:t>
            </w:r>
            <w:r>
              <w:rPr>
                <w:rFonts w:asciiTheme="majorHAnsi" w:hAnsiTheme="majorHAnsi"/>
                <w:sz w:val="22"/>
                <w:szCs w:val="22"/>
                <w:lang w:val="en-US"/>
              </w:rPr>
              <w:t>gr</w:t>
            </w:r>
          </w:p>
          <w:p w:rsidR="00BC6F9D" w:rsidRPr="00F26890" w:rsidRDefault="00BC6F9D" w:rsidP="002E262D">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BC6F9D" w:rsidRPr="00F26890" w:rsidTr="002E262D">
        <w:tc>
          <w:tcPr>
            <w:tcW w:w="8963" w:type="dxa"/>
            <w:tcBorders>
              <w:left w:val="single" w:sz="1" w:space="0" w:color="000000"/>
              <w:bottom w:val="single" w:sz="1" w:space="0" w:color="000000"/>
              <w:right w:val="single" w:sz="1" w:space="0" w:color="000000"/>
            </w:tcBorders>
            <w:shd w:val="clear" w:color="auto" w:fill="B2B2B2"/>
          </w:tcPr>
          <w:p w:rsidR="00BC6F9D" w:rsidRPr="00F26890" w:rsidRDefault="00BC6F9D" w:rsidP="002E262D">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BC6F9D" w:rsidRPr="00F26890" w:rsidRDefault="00BC6F9D" w:rsidP="002E262D">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Pr="00BB614A">
              <w:rPr>
                <w:rFonts w:asciiTheme="majorHAnsi" w:hAnsiTheme="majorHAnsi"/>
                <w:sz w:val="22"/>
                <w:szCs w:val="22"/>
              </w:rPr>
              <w:t xml:space="preserve">Προμήθεια αντιδραστηρίων για την εξακρίβωση της ομάδας αίματος  με ταυτόχρονη παραχώρηση συνοδού εξοπλισμού για την Οργανική Μονάδα ‘Έδρας-Άγιος Νικόλαος του Γ.Ν. Λασιθίου CPV </w:t>
            </w:r>
            <w:r w:rsidRPr="00F026BF">
              <w:rPr>
                <w:rFonts w:asciiTheme="majorHAnsi" w:hAnsiTheme="majorHAnsi"/>
                <w:sz w:val="22"/>
                <w:szCs w:val="22"/>
              </w:rPr>
              <w:t>33696100-6</w:t>
            </w:r>
          </w:p>
          <w:p w:rsidR="00BC6F9D" w:rsidRPr="00F26890" w:rsidRDefault="00BC6F9D" w:rsidP="002E262D">
            <w:pPr>
              <w:rPr>
                <w:rFonts w:asciiTheme="majorHAnsi" w:hAnsiTheme="majorHAnsi"/>
                <w:sz w:val="22"/>
                <w:szCs w:val="22"/>
              </w:rPr>
            </w:pPr>
            <w:r w:rsidRPr="00F26890">
              <w:rPr>
                <w:rFonts w:asciiTheme="majorHAnsi" w:hAnsiTheme="majorHAnsi"/>
                <w:sz w:val="22"/>
                <w:szCs w:val="22"/>
              </w:rPr>
              <w:t xml:space="preserve">- Κωδικός στο ΚΗΜΔΗΣ: </w:t>
            </w:r>
            <w:r w:rsidRPr="00E91D28">
              <w:rPr>
                <w:rFonts w:asciiTheme="majorHAnsi" w:hAnsiTheme="majorHAnsi"/>
                <w:sz w:val="22"/>
                <w:szCs w:val="22"/>
              </w:rPr>
              <w:t>20PROC006443362</w:t>
            </w:r>
          </w:p>
          <w:p w:rsidR="00BC6F9D" w:rsidRPr="00F26890" w:rsidRDefault="00BC6F9D" w:rsidP="002E262D">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BC6F9D" w:rsidRPr="00BB614A" w:rsidRDefault="00BC6F9D" w:rsidP="002E262D">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Pr="00BB614A">
              <w:rPr>
                <w:rFonts w:asciiTheme="majorHAnsi" w:hAnsiTheme="majorHAnsi"/>
                <w:sz w:val="22"/>
                <w:szCs w:val="22"/>
              </w:rPr>
              <w:t>-</w:t>
            </w:r>
          </w:p>
          <w:p w:rsidR="00BC6F9D" w:rsidRPr="00E836BE" w:rsidRDefault="00BC6F9D" w:rsidP="002E262D">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Pr="00E836BE">
              <w:rPr>
                <w:rFonts w:asciiTheme="majorHAnsi" w:hAnsiTheme="majorHAnsi"/>
                <w:sz w:val="22"/>
                <w:szCs w:val="22"/>
              </w:rPr>
              <w:t>2524</w:t>
            </w:r>
          </w:p>
        </w:tc>
      </w:tr>
    </w:tbl>
    <w:p w:rsidR="00BC6F9D" w:rsidRPr="00F26890" w:rsidRDefault="00BC6F9D" w:rsidP="00BC6F9D">
      <w:pPr>
        <w:rPr>
          <w:rFonts w:asciiTheme="majorHAnsi" w:hAnsiTheme="majorHAnsi"/>
          <w:sz w:val="22"/>
          <w:szCs w:val="22"/>
        </w:rPr>
      </w:pPr>
    </w:p>
    <w:p w:rsidR="00BC6F9D" w:rsidRPr="00F26890" w:rsidRDefault="00BC6F9D" w:rsidP="00BC6F9D">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BC6F9D" w:rsidRPr="003E39A8" w:rsidRDefault="00BC6F9D" w:rsidP="00BC6F9D">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BC6F9D" w:rsidRPr="003E39A8" w:rsidRDefault="00BC6F9D" w:rsidP="00BC6F9D">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Αριθμός φορολογικού μητρώου (ΑΦΜ):</w:t>
            </w:r>
          </w:p>
          <w:p w:rsidR="00BC6F9D" w:rsidRPr="003E39A8" w:rsidRDefault="00BC6F9D" w:rsidP="002E262D">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rPr>
          <w:trHeight w:val="1533"/>
        </w:trPr>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4"/>
                <w:rFonts w:ascii="Calibri" w:hAnsi="Calibri"/>
                <w:sz w:val="22"/>
                <w:szCs w:val="22"/>
                <w:vertAlign w:val="superscript"/>
              </w:rPr>
              <w:footnoteReference w:id="3"/>
            </w:r>
            <w:r w:rsidRPr="003E39A8">
              <w:rPr>
                <w:rStyle w:val="af4"/>
                <w:rFonts w:ascii="Calibri" w:hAnsi="Calibri"/>
                <w:sz w:val="22"/>
                <w:szCs w:val="22"/>
              </w:rPr>
              <w:t xml:space="preserve"> </w:t>
            </w: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Τηλέφωνο:</w:t>
            </w:r>
          </w:p>
          <w:p w:rsidR="00BC6F9D" w:rsidRPr="003E39A8" w:rsidRDefault="00BC6F9D" w:rsidP="002E262D">
            <w:pPr>
              <w:rPr>
                <w:rFonts w:ascii="Calibri" w:hAnsi="Calibri"/>
                <w:sz w:val="22"/>
                <w:szCs w:val="22"/>
              </w:rPr>
            </w:pPr>
            <w:r w:rsidRPr="003E39A8">
              <w:rPr>
                <w:rFonts w:ascii="Calibri" w:hAnsi="Calibri"/>
                <w:sz w:val="22"/>
                <w:szCs w:val="22"/>
              </w:rPr>
              <w:t>Ηλ. ταχυδρομείο:</w:t>
            </w:r>
          </w:p>
          <w:p w:rsidR="00BC6F9D" w:rsidRPr="003E39A8" w:rsidRDefault="00BC6F9D" w:rsidP="002E262D">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4"/>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p>
        </w:tc>
      </w:tr>
      <w:tr w:rsidR="00BC6F9D" w:rsidRPr="003E39A8" w:rsidTr="002E262D">
        <w:tc>
          <w:tcPr>
            <w:tcW w:w="4479" w:type="dxa"/>
            <w:tcBorders>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Ναι [] Όχι [] Άνευ αντικειμένου</w:t>
            </w:r>
          </w:p>
        </w:tc>
      </w:tr>
      <w:tr w:rsidR="00BC6F9D" w:rsidRPr="003E39A8" w:rsidTr="002E262D">
        <w:trPr>
          <w:trHeight w:val="8485"/>
        </w:trPr>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C6F9D" w:rsidRPr="003E39A8" w:rsidRDefault="00BC6F9D" w:rsidP="002E262D">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BC6F9D" w:rsidRPr="003E39A8" w:rsidRDefault="00BC6F9D" w:rsidP="002E262D">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BC6F9D" w:rsidRPr="003E39A8" w:rsidRDefault="00BC6F9D" w:rsidP="002E262D">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sz w:val="22"/>
                <w:szCs w:val="22"/>
                <w:vertAlign w:val="superscript"/>
              </w:rPr>
              <w:footnoteReference w:id="5"/>
            </w: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BC6F9D" w:rsidRPr="003E39A8" w:rsidRDefault="00BC6F9D" w:rsidP="002E262D">
            <w:pPr>
              <w:rPr>
                <w:rFonts w:ascii="Calibri" w:hAnsi="Calibri"/>
                <w:sz w:val="22"/>
                <w:szCs w:val="22"/>
              </w:rPr>
            </w:pPr>
            <w:r w:rsidRPr="003E39A8">
              <w:rPr>
                <w:rFonts w:ascii="Calibri" w:hAnsi="Calibri"/>
                <w:b/>
                <w:sz w:val="22"/>
                <w:szCs w:val="22"/>
              </w:rPr>
              <w:t>Εάν όχι:</w:t>
            </w:r>
          </w:p>
          <w:p w:rsidR="00BC6F9D" w:rsidRPr="003E39A8" w:rsidRDefault="00BC6F9D" w:rsidP="002E262D">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BC6F9D" w:rsidRPr="003E39A8" w:rsidRDefault="00BC6F9D" w:rsidP="002E262D">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C6F9D" w:rsidRPr="003E39A8" w:rsidRDefault="00BC6F9D" w:rsidP="002E262D">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α)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BC6F9D" w:rsidRPr="003E39A8" w:rsidRDefault="00BC6F9D" w:rsidP="002E262D">
            <w:pPr>
              <w:rPr>
                <w:rFonts w:ascii="Calibri" w:hAnsi="Calibri"/>
                <w:sz w:val="22"/>
                <w:szCs w:val="22"/>
              </w:rPr>
            </w:pPr>
            <w:r w:rsidRPr="003E39A8">
              <w:rPr>
                <w:rFonts w:ascii="Calibri" w:hAnsi="Calibri"/>
                <w:sz w:val="22"/>
                <w:szCs w:val="22"/>
              </w:rPr>
              <w:t>γ)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δ) [] Ναι [] Όχι</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ε) [] Ναι [] Όχι</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BC6F9D" w:rsidRPr="003E39A8" w:rsidRDefault="00BC6F9D" w:rsidP="002E262D">
            <w:pPr>
              <w:rPr>
                <w:rFonts w:ascii="Calibri" w:hAnsi="Calibri"/>
                <w:sz w:val="22"/>
                <w:szCs w:val="22"/>
              </w:rPr>
            </w:pPr>
            <w:r w:rsidRPr="003E39A8">
              <w:rPr>
                <w:rFonts w:ascii="Calibri" w:hAnsi="Calibri"/>
                <w:i/>
                <w:sz w:val="22"/>
                <w:szCs w:val="22"/>
              </w:rPr>
              <w:t>[……][……][……][……]</w:t>
            </w:r>
          </w:p>
        </w:tc>
      </w:tr>
      <w:tr w:rsidR="00BC6F9D" w:rsidRPr="003E39A8" w:rsidTr="002E262D">
        <w:tc>
          <w:tcPr>
            <w:tcW w:w="4479" w:type="dxa"/>
            <w:tcBorders>
              <w:left w:val="single" w:sz="4" w:space="0" w:color="000000"/>
              <w:bottom w:val="single" w:sz="4" w:space="0" w:color="000000"/>
            </w:tcBorders>
            <w:shd w:val="clear" w:color="auto" w:fill="auto"/>
          </w:tcPr>
          <w:p w:rsidR="00BC6F9D" w:rsidRPr="003E39A8" w:rsidRDefault="00BC6F9D" w:rsidP="002E262D">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4"/>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Ναι [] Όχι</w:t>
            </w:r>
          </w:p>
        </w:tc>
      </w:tr>
      <w:tr w:rsidR="00BC6F9D" w:rsidRPr="003E39A8" w:rsidTr="002E262D">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C6F9D" w:rsidRPr="003E39A8" w:rsidRDefault="00BC6F9D" w:rsidP="002E262D">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BC6F9D" w:rsidRPr="003E39A8" w:rsidRDefault="00BC6F9D" w:rsidP="002E262D">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BC6F9D" w:rsidRPr="003E39A8" w:rsidRDefault="00BC6F9D" w:rsidP="002E262D">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α)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β)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γ) [……]</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w:t>
            </w:r>
          </w:p>
        </w:tc>
      </w:tr>
    </w:tbl>
    <w:p w:rsidR="00BC6F9D" w:rsidRPr="003E39A8" w:rsidRDefault="00BC6F9D" w:rsidP="00BC6F9D">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BC6F9D" w:rsidRPr="003E39A8" w:rsidRDefault="00BC6F9D" w:rsidP="00BC6F9D">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Ονοματεπώνυμο</w:t>
            </w:r>
          </w:p>
          <w:p w:rsidR="00BC6F9D" w:rsidRPr="003E39A8" w:rsidRDefault="00BC6F9D" w:rsidP="002E262D">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bl>
    <w:p w:rsidR="00BC6F9D" w:rsidRPr="003E39A8" w:rsidRDefault="00BC6F9D" w:rsidP="00BC6F9D">
      <w:pPr>
        <w:pStyle w:val="SectionTitle"/>
        <w:ind w:left="850" w:firstLine="0"/>
        <w:rPr>
          <w:sz w:val="22"/>
        </w:rPr>
      </w:pPr>
    </w:p>
    <w:p w:rsidR="00BC6F9D" w:rsidRPr="002F4D50" w:rsidRDefault="00BC6F9D" w:rsidP="00BC6F9D">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BC6F9D" w:rsidRPr="002F4D50" w:rsidTr="002E262D">
        <w:trPr>
          <w:trHeight w:val="343"/>
        </w:trPr>
        <w:tc>
          <w:tcPr>
            <w:tcW w:w="4479" w:type="dxa"/>
            <w:tcBorders>
              <w:top w:val="single" w:sz="4" w:space="0" w:color="000000"/>
              <w:left w:val="single" w:sz="4" w:space="0" w:color="000000"/>
              <w:bottom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b/>
                <w:i/>
                <w:sz w:val="22"/>
                <w:szCs w:val="22"/>
              </w:rPr>
              <w:t>Απάντηση:</w:t>
            </w:r>
          </w:p>
        </w:tc>
      </w:tr>
      <w:tr w:rsidR="00BC6F9D" w:rsidRPr="002F4D50" w:rsidTr="002E262D">
        <w:tc>
          <w:tcPr>
            <w:tcW w:w="4479" w:type="dxa"/>
            <w:tcBorders>
              <w:top w:val="single" w:sz="4" w:space="0" w:color="000000"/>
              <w:left w:val="single" w:sz="4" w:space="0" w:color="000000"/>
              <w:bottom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sz w:val="22"/>
                <w:szCs w:val="22"/>
              </w:rPr>
              <w:t>[]Ναι []Όχι</w:t>
            </w:r>
          </w:p>
        </w:tc>
      </w:tr>
    </w:tbl>
    <w:p w:rsidR="00BC6F9D" w:rsidRPr="002F4D50" w:rsidRDefault="00BC6F9D" w:rsidP="00BC6F9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BC6F9D" w:rsidRPr="002F4D50" w:rsidRDefault="00BC6F9D" w:rsidP="00BC6F9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C6F9D" w:rsidRPr="002F4D50" w:rsidRDefault="00BC6F9D" w:rsidP="00BC6F9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C6F9D" w:rsidRPr="003E39A8" w:rsidRDefault="00BC6F9D" w:rsidP="00BC6F9D">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BC6F9D" w:rsidRPr="003E39A8" w:rsidRDefault="00BC6F9D" w:rsidP="00BC6F9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Απάντηση:</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[]Ναι []Όχι</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BC6F9D" w:rsidRPr="003E39A8" w:rsidRDefault="00BC6F9D" w:rsidP="002E262D">
            <w:pPr>
              <w:rPr>
                <w:rFonts w:ascii="Calibri" w:hAnsi="Calibri"/>
                <w:sz w:val="22"/>
                <w:szCs w:val="22"/>
              </w:rPr>
            </w:pPr>
            <w:r w:rsidRPr="003E39A8">
              <w:rPr>
                <w:rFonts w:ascii="Calibri" w:hAnsi="Calibri"/>
                <w:sz w:val="22"/>
                <w:szCs w:val="22"/>
              </w:rPr>
              <w:t>[…]</w:t>
            </w:r>
          </w:p>
        </w:tc>
      </w:tr>
    </w:tbl>
    <w:p w:rsidR="00BC6F9D" w:rsidRPr="003E39A8" w:rsidRDefault="00BC6F9D" w:rsidP="00BC6F9D">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C6F9D" w:rsidRPr="003E39A8" w:rsidRDefault="00BC6F9D" w:rsidP="00BC6F9D">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BC6F9D" w:rsidRPr="003E39A8" w:rsidRDefault="00BC6F9D" w:rsidP="00BC6F9D">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8"/>
      </w:r>
    </w:p>
    <w:p w:rsidR="00BC6F9D" w:rsidRPr="003E39A8" w:rsidRDefault="00BC6F9D" w:rsidP="00BC6F9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4"/>
          <w:rFonts w:ascii="Calibri" w:hAnsi="Calibri"/>
          <w:sz w:val="22"/>
          <w:szCs w:val="22"/>
          <w:vertAlign w:val="superscript"/>
        </w:rPr>
        <w:footnoteReference w:id="9"/>
      </w:r>
      <w:r w:rsidRPr="003E39A8">
        <w:rPr>
          <w:rFonts w:ascii="Calibri" w:hAnsi="Calibri"/>
          <w:sz w:val="22"/>
          <w:szCs w:val="22"/>
        </w:rPr>
        <w:t>·</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0"/>
      </w:r>
      <w:r w:rsidRPr="003E39A8">
        <w:rPr>
          <w:rFonts w:ascii="Calibri" w:hAnsi="Calibri"/>
          <w:sz w:val="22"/>
          <w:szCs w:val="22"/>
          <w:vertAlign w:val="superscript"/>
        </w:rPr>
        <w:t>,</w:t>
      </w:r>
      <w:r w:rsidRPr="003E39A8">
        <w:rPr>
          <w:rStyle w:val="af4"/>
          <w:rFonts w:ascii="Calibri" w:hAnsi="Calibri"/>
          <w:sz w:val="22"/>
          <w:szCs w:val="22"/>
          <w:vertAlign w:val="superscript"/>
        </w:rPr>
        <w:footnoteReference w:id="11"/>
      </w:r>
      <w:r w:rsidRPr="003E39A8">
        <w:rPr>
          <w:rFonts w:ascii="Calibri" w:hAnsi="Calibri"/>
          <w:sz w:val="22"/>
          <w:szCs w:val="22"/>
        </w:rPr>
        <w:t>·</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4"/>
          <w:rFonts w:ascii="Calibri" w:hAnsi="Calibri"/>
          <w:sz w:val="22"/>
          <w:szCs w:val="22"/>
          <w:vertAlign w:val="superscript"/>
        </w:rPr>
        <w:footnoteReference w:id="12"/>
      </w:r>
      <w:r w:rsidRPr="003E39A8">
        <w:rPr>
          <w:rFonts w:ascii="Calibri" w:hAnsi="Calibri"/>
          <w:sz w:val="22"/>
          <w:szCs w:val="22"/>
        </w:rPr>
        <w:t>·</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4"/>
          <w:rFonts w:ascii="Calibri" w:hAnsi="Calibri"/>
          <w:sz w:val="22"/>
          <w:szCs w:val="22"/>
          <w:vertAlign w:val="superscript"/>
        </w:rPr>
        <w:footnoteReference w:id="13"/>
      </w:r>
      <w:r w:rsidRPr="003E39A8">
        <w:rPr>
          <w:rStyle w:val="af4"/>
          <w:rFonts w:ascii="Calibri" w:hAnsi="Calibri"/>
          <w:sz w:val="22"/>
          <w:szCs w:val="22"/>
        </w:rPr>
        <w:t>·</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4"/>
          <w:rFonts w:ascii="Calibri" w:hAnsi="Calibri"/>
          <w:sz w:val="22"/>
          <w:szCs w:val="22"/>
          <w:vertAlign w:val="superscript"/>
        </w:rPr>
        <w:footnoteReference w:id="14"/>
      </w:r>
      <w:r w:rsidRPr="003E39A8">
        <w:rPr>
          <w:rFonts w:ascii="Calibri" w:hAnsi="Calibri"/>
          <w:sz w:val="22"/>
          <w:szCs w:val="22"/>
        </w:rPr>
        <w:t>·</w:t>
      </w:r>
    </w:p>
    <w:p w:rsidR="00BC6F9D" w:rsidRPr="003E39A8" w:rsidRDefault="00BC6F9D" w:rsidP="00BC6F9D">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4"/>
          <w:rFonts w:ascii="Calibri" w:hAnsi="Calibri"/>
          <w:b/>
          <w:sz w:val="22"/>
          <w:szCs w:val="22"/>
        </w:rPr>
        <w:t>παιδική εργασία και άλλες μορφές εμπορίας ανθρώπων</w:t>
      </w:r>
      <w:r w:rsidRPr="003E39A8">
        <w:rPr>
          <w:rStyle w:val="af4"/>
          <w:rFonts w:ascii="Calibri" w:hAnsi="Calibri"/>
          <w:sz w:val="22"/>
          <w:szCs w:val="22"/>
          <w:vertAlign w:val="superscript"/>
        </w:rPr>
        <w:footnoteReference w:id="15"/>
      </w:r>
      <w:r w:rsidRPr="003E39A8">
        <w:rPr>
          <w:rStyle w:val="af4"/>
          <w:rFonts w:ascii="Calibri" w:hAnsi="Calibri"/>
          <w:sz w:val="22"/>
          <w:szCs w:val="22"/>
        </w:rPr>
        <w:t>.</w:t>
      </w:r>
    </w:p>
    <w:tbl>
      <w:tblPr>
        <w:tblW w:w="0" w:type="auto"/>
        <w:tblInd w:w="108" w:type="dxa"/>
        <w:tblLayout w:type="fixed"/>
        <w:tblLook w:val="0000"/>
      </w:tblPr>
      <w:tblGrid>
        <w:gridCol w:w="4479"/>
        <w:gridCol w:w="4500"/>
      </w:tblGrid>
      <w:tr w:rsidR="00BC6F9D" w:rsidRPr="003E39A8" w:rsidTr="002E262D">
        <w:trPr>
          <w:trHeight w:val="855"/>
        </w:trPr>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r w:rsidRPr="003E39A8">
              <w:rPr>
                <w:rFonts w:ascii="Calibri" w:hAnsi="Calibri"/>
                <w:b/>
                <w:bCs/>
                <w:i/>
                <w:iCs/>
                <w:sz w:val="22"/>
                <w:szCs w:val="22"/>
              </w:rPr>
              <w:t>Απάντηση:</w:t>
            </w:r>
          </w:p>
        </w:tc>
      </w:tr>
      <w:tr w:rsidR="00BC6F9D" w:rsidRPr="003E39A8" w:rsidTr="002E262D">
        <w:tc>
          <w:tcPr>
            <w:tcW w:w="4479" w:type="dxa"/>
            <w:tcBorders>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lastRenderedPageBreak/>
              <w:t>[] Ναι [] Όχι</w:t>
            </w: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C6F9D" w:rsidRPr="003E39A8" w:rsidRDefault="00BC6F9D" w:rsidP="002E262D">
            <w:pPr>
              <w:rPr>
                <w:rFonts w:ascii="Calibri" w:hAnsi="Calibri"/>
                <w:b/>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7"/>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4"/>
                <w:rFonts w:ascii="Calibri" w:hAnsi="Calibri"/>
                <w:sz w:val="22"/>
                <w:szCs w:val="22"/>
                <w:vertAlign w:val="superscript"/>
              </w:rPr>
              <w:footnoteReference w:id="18"/>
            </w: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BC6F9D" w:rsidRPr="003E39A8" w:rsidRDefault="00BC6F9D" w:rsidP="002E262D">
            <w:pPr>
              <w:rPr>
                <w:rFonts w:ascii="Calibri" w:hAnsi="Calibri"/>
                <w:sz w:val="22"/>
                <w:szCs w:val="22"/>
              </w:rPr>
            </w:pPr>
            <w:r w:rsidRPr="003E39A8">
              <w:rPr>
                <w:rFonts w:ascii="Calibri" w:hAnsi="Calibri"/>
                <w:sz w:val="22"/>
                <w:szCs w:val="22"/>
              </w:rPr>
              <w:t>β) Προσδιορίστε ποιος έχει καταδικαστεί [ ]·</w:t>
            </w:r>
          </w:p>
          <w:p w:rsidR="00BC6F9D" w:rsidRPr="003E39A8" w:rsidRDefault="00BC6F9D" w:rsidP="002E262D">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 xml:space="preserve">α) Ημερομηνία:[   ], </w:t>
            </w:r>
          </w:p>
          <w:p w:rsidR="00BC6F9D" w:rsidRPr="003E39A8" w:rsidRDefault="00BC6F9D" w:rsidP="002E262D">
            <w:pPr>
              <w:rPr>
                <w:rFonts w:ascii="Calibri" w:hAnsi="Calibri"/>
                <w:sz w:val="22"/>
                <w:szCs w:val="22"/>
              </w:rPr>
            </w:pPr>
            <w:r w:rsidRPr="003E39A8">
              <w:rPr>
                <w:rFonts w:ascii="Calibri" w:hAnsi="Calibri"/>
                <w:sz w:val="22"/>
                <w:szCs w:val="22"/>
              </w:rPr>
              <w:t xml:space="preserve">σημείο-(-α): [   ], </w:t>
            </w:r>
          </w:p>
          <w:p w:rsidR="00BC6F9D" w:rsidRPr="003E39A8" w:rsidRDefault="00BC6F9D" w:rsidP="002E262D">
            <w:pPr>
              <w:rPr>
                <w:rFonts w:ascii="Calibri" w:hAnsi="Calibri"/>
                <w:sz w:val="22"/>
                <w:szCs w:val="22"/>
              </w:rPr>
            </w:pPr>
            <w:r w:rsidRPr="003E39A8">
              <w:rPr>
                <w:rFonts w:ascii="Calibri" w:hAnsi="Calibri"/>
                <w:sz w:val="22"/>
                <w:szCs w:val="22"/>
              </w:rPr>
              <w:t>λόγος(-οι):[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β) [……]</w:t>
            </w:r>
          </w:p>
          <w:p w:rsidR="00BC6F9D" w:rsidRPr="003E39A8" w:rsidRDefault="00BC6F9D" w:rsidP="002E262D">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BC6F9D" w:rsidRPr="003E39A8" w:rsidRDefault="00BC6F9D" w:rsidP="002E262D">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C6F9D" w:rsidRPr="003E39A8" w:rsidRDefault="00BC6F9D" w:rsidP="002E262D">
            <w:pPr>
              <w:rPr>
                <w:rFonts w:ascii="Calibri" w:hAnsi="Calibri"/>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9"/>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xml:space="preserve">[] Ναι [] Όχι </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4"/>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w:t>
            </w:r>
          </w:p>
        </w:tc>
      </w:tr>
    </w:tbl>
    <w:p w:rsidR="00BC6F9D" w:rsidRPr="003E39A8" w:rsidRDefault="00BC6F9D" w:rsidP="00BC6F9D">
      <w:pPr>
        <w:pStyle w:val="SectionTitle"/>
        <w:rPr>
          <w:sz w:val="22"/>
        </w:rPr>
      </w:pPr>
    </w:p>
    <w:p w:rsidR="00BC6F9D" w:rsidRPr="003E39A8" w:rsidRDefault="00BC6F9D" w:rsidP="00BC6F9D">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BC6F9D" w:rsidRPr="003E39A8" w:rsidTr="002E262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Απάντηση:</w:t>
            </w:r>
          </w:p>
        </w:tc>
      </w:tr>
      <w:tr w:rsidR="00BC6F9D" w:rsidRPr="003E39A8" w:rsidTr="002E262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xml:space="preserve">[] Ναι [] Όχι </w:t>
            </w:r>
          </w:p>
        </w:tc>
      </w:tr>
      <w:tr w:rsidR="00BC6F9D" w:rsidRPr="003E39A8" w:rsidTr="002E262D">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r w:rsidRPr="003E39A8">
              <w:rPr>
                <w:rFonts w:ascii="Calibri" w:hAnsi="Calibri"/>
                <w:sz w:val="22"/>
                <w:szCs w:val="22"/>
              </w:rPr>
              <w:t xml:space="preserve">Εάν όχι αναφέρετε: </w:t>
            </w:r>
          </w:p>
          <w:p w:rsidR="00BC6F9D" w:rsidRPr="003E39A8" w:rsidRDefault="00BC6F9D" w:rsidP="002E262D">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BC6F9D" w:rsidRPr="003E39A8" w:rsidRDefault="00BC6F9D" w:rsidP="002E262D">
            <w:pPr>
              <w:snapToGrid w:val="0"/>
              <w:rPr>
                <w:rFonts w:ascii="Calibri" w:hAnsi="Calibri"/>
                <w:sz w:val="22"/>
                <w:szCs w:val="22"/>
              </w:rPr>
            </w:pPr>
            <w:r w:rsidRPr="003E39A8">
              <w:rPr>
                <w:rFonts w:ascii="Calibri" w:hAnsi="Calibri"/>
                <w:sz w:val="22"/>
                <w:szCs w:val="22"/>
              </w:rPr>
              <w:t>β) Ποιο είναι το σχετικό ποσό;</w:t>
            </w:r>
          </w:p>
          <w:p w:rsidR="00BC6F9D" w:rsidRPr="003E39A8" w:rsidRDefault="00BC6F9D" w:rsidP="002E262D">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BC6F9D" w:rsidRPr="003E39A8" w:rsidRDefault="00BC6F9D" w:rsidP="002E262D">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BC6F9D" w:rsidRPr="003E39A8" w:rsidRDefault="00BC6F9D" w:rsidP="002E262D">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BC6F9D" w:rsidRPr="003E39A8" w:rsidRDefault="00BC6F9D" w:rsidP="002E262D">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BC6F9D" w:rsidRPr="003E39A8" w:rsidRDefault="00BC6F9D" w:rsidP="002E262D">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BC6F9D" w:rsidRPr="003E39A8" w:rsidRDefault="00BC6F9D" w:rsidP="002E262D">
            <w:pPr>
              <w:snapToGrid w:val="0"/>
              <w:rPr>
                <w:rFonts w:ascii="Calibri" w:hAnsi="Calibri"/>
                <w:sz w:val="22"/>
                <w:szCs w:val="22"/>
              </w:rPr>
            </w:pPr>
            <w:r w:rsidRPr="003E39A8">
              <w:rPr>
                <w:rFonts w:ascii="Calibri" w:hAnsi="Calibri"/>
                <w:sz w:val="22"/>
                <w:szCs w:val="22"/>
              </w:rPr>
              <w:t>2) Με άλλα μέσα; Διευκρινήστε:</w:t>
            </w:r>
          </w:p>
          <w:p w:rsidR="00BC6F9D" w:rsidRPr="003E39A8" w:rsidRDefault="00BC6F9D" w:rsidP="002E262D">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sz w:val="22"/>
                <w:szCs w:val="22"/>
              </w:rPr>
              <w:t>ΦΟΡΟΙ</w:t>
            </w:r>
          </w:p>
          <w:p w:rsidR="00BC6F9D" w:rsidRPr="003E39A8" w:rsidRDefault="00BC6F9D" w:rsidP="002E262D">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bCs/>
                <w:sz w:val="22"/>
                <w:szCs w:val="22"/>
              </w:rPr>
              <w:t>ΕΙΣΦΟΡΕΣ ΚΟΙΝΩΝΙΚΗΣ ΑΣΦΑΛΙΣΗΣ</w:t>
            </w:r>
          </w:p>
        </w:tc>
      </w:tr>
      <w:tr w:rsidR="00BC6F9D" w:rsidRPr="003E39A8" w:rsidTr="002E262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C6F9D" w:rsidRPr="003E39A8" w:rsidRDefault="00BC6F9D" w:rsidP="002E262D">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α)[……]·</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β)[……]</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 xml:space="preserve">γ.1) [] Ναι [] Όχι </w:t>
            </w:r>
          </w:p>
          <w:p w:rsidR="00BC6F9D" w:rsidRPr="003E39A8" w:rsidRDefault="00BC6F9D" w:rsidP="002E262D">
            <w:pPr>
              <w:rPr>
                <w:rFonts w:ascii="Calibri" w:hAnsi="Calibri"/>
                <w:sz w:val="22"/>
                <w:szCs w:val="22"/>
              </w:rPr>
            </w:pPr>
            <w:r w:rsidRPr="003E39A8">
              <w:rPr>
                <w:rFonts w:ascii="Calibri" w:hAnsi="Calibri"/>
                <w:sz w:val="22"/>
                <w:szCs w:val="22"/>
              </w:rPr>
              <w:t xml:space="preserve">-[] Ναι [] Όχι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γ.2)[……]·</w:t>
            </w:r>
          </w:p>
          <w:p w:rsidR="00BC6F9D" w:rsidRPr="003E39A8" w:rsidRDefault="00BC6F9D" w:rsidP="002E262D">
            <w:pPr>
              <w:rPr>
                <w:rFonts w:ascii="Calibri" w:hAnsi="Calibri"/>
                <w:sz w:val="22"/>
                <w:szCs w:val="22"/>
              </w:rPr>
            </w:pPr>
            <w:r w:rsidRPr="003E39A8">
              <w:rPr>
                <w:rFonts w:ascii="Calibri" w:hAnsi="Calibri"/>
                <w:sz w:val="22"/>
                <w:szCs w:val="22"/>
              </w:rPr>
              <w:t xml:space="preserve">δ) [] Ναι [] Όχι </w:t>
            </w:r>
          </w:p>
          <w:p w:rsidR="00BC6F9D" w:rsidRPr="003E39A8" w:rsidRDefault="00BC6F9D" w:rsidP="002E262D">
            <w:pPr>
              <w:rPr>
                <w:rFonts w:ascii="Calibri" w:hAnsi="Calibri"/>
                <w:sz w:val="22"/>
                <w:szCs w:val="22"/>
              </w:rPr>
            </w:pPr>
            <w:r w:rsidRPr="003E39A8">
              <w:rPr>
                <w:rFonts w:ascii="Calibri" w:hAnsi="Calibri"/>
                <w:sz w:val="22"/>
                <w:szCs w:val="22"/>
              </w:rPr>
              <w:t>Εάν ναι, να αναφερθούν λεπτομερείς πληροφορίες</w:t>
            </w:r>
          </w:p>
          <w:p w:rsidR="00BC6F9D" w:rsidRPr="003E39A8" w:rsidRDefault="00BC6F9D" w:rsidP="002E262D">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α)[……]·</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β)[……]</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 xml:space="preserve">γ.1) [] Ναι [] Όχι </w:t>
            </w:r>
          </w:p>
          <w:p w:rsidR="00BC6F9D" w:rsidRPr="003E39A8" w:rsidRDefault="00BC6F9D" w:rsidP="002E262D">
            <w:pPr>
              <w:rPr>
                <w:rFonts w:ascii="Calibri" w:hAnsi="Calibri"/>
                <w:sz w:val="22"/>
                <w:szCs w:val="22"/>
              </w:rPr>
            </w:pPr>
            <w:r w:rsidRPr="003E39A8">
              <w:rPr>
                <w:rFonts w:ascii="Calibri" w:hAnsi="Calibri"/>
                <w:sz w:val="22"/>
                <w:szCs w:val="22"/>
              </w:rPr>
              <w:t xml:space="preserve">-[] Ναι [] Όχι </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γ.2)[……]·</w:t>
            </w:r>
          </w:p>
          <w:p w:rsidR="00BC6F9D" w:rsidRPr="003E39A8" w:rsidRDefault="00BC6F9D" w:rsidP="002E262D">
            <w:pPr>
              <w:rPr>
                <w:rFonts w:ascii="Calibri" w:hAnsi="Calibri"/>
                <w:sz w:val="22"/>
                <w:szCs w:val="22"/>
              </w:rPr>
            </w:pPr>
            <w:r w:rsidRPr="003E39A8">
              <w:rPr>
                <w:rFonts w:ascii="Calibri" w:hAnsi="Calibri"/>
                <w:sz w:val="22"/>
                <w:szCs w:val="22"/>
              </w:rPr>
              <w:t xml:space="preserve">δ) [] Ναι [] Όχι </w:t>
            </w:r>
          </w:p>
          <w:p w:rsidR="00BC6F9D" w:rsidRPr="003E39A8" w:rsidRDefault="00BC6F9D" w:rsidP="002E262D">
            <w:pPr>
              <w:rPr>
                <w:rFonts w:ascii="Calibri" w:hAnsi="Calibri"/>
                <w:sz w:val="22"/>
                <w:szCs w:val="22"/>
              </w:rPr>
            </w:pPr>
            <w:r w:rsidRPr="003E39A8">
              <w:rPr>
                <w:rFonts w:ascii="Calibri" w:hAnsi="Calibri"/>
                <w:sz w:val="22"/>
                <w:szCs w:val="22"/>
              </w:rPr>
              <w:t>Εάν ναι, να αναφερθούν λεπτομερείς πληροφορίες</w:t>
            </w:r>
          </w:p>
          <w:p w:rsidR="00BC6F9D" w:rsidRPr="003E39A8" w:rsidRDefault="00BC6F9D" w:rsidP="002E262D">
            <w:pPr>
              <w:rPr>
                <w:rFonts w:ascii="Calibri" w:hAnsi="Calibri"/>
                <w:sz w:val="22"/>
                <w:szCs w:val="22"/>
              </w:rPr>
            </w:pPr>
            <w:r w:rsidRPr="003E39A8">
              <w:rPr>
                <w:rFonts w:ascii="Calibri" w:hAnsi="Calibri"/>
                <w:sz w:val="22"/>
                <w:szCs w:val="22"/>
              </w:rPr>
              <w:t>[……]</w:t>
            </w:r>
          </w:p>
        </w:tc>
      </w:tr>
      <w:tr w:rsidR="00BC6F9D" w:rsidRPr="003E39A8" w:rsidTr="002E262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4"/>
                <w:rFonts w:ascii="Calibri" w:hAnsi="Calibri"/>
                <w:i/>
                <w:sz w:val="22"/>
                <w:szCs w:val="22"/>
              </w:rPr>
              <w:t xml:space="preserve"> </w:t>
            </w:r>
            <w:r w:rsidRPr="003E39A8">
              <w:rPr>
                <w:rStyle w:val="af4"/>
                <w:rFonts w:ascii="Calibri" w:hAnsi="Calibri"/>
                <w:sz w:val="22"/>
                <w:szCs w:val="22"/>
                <w:vertAlign w:val="superscript"/>
              </w:rPr>
              <w:footnoteReference w:id="24"/>
            </w:r>
          </w:p>
          <w:p w:rsidR="00BC6F9D" w:rsidRPr="003E39A8" w:rsidRDefault="00BC6F9D" w:rsidP="002E262D">
            <w:pPr>
              <w:rPr>
                <w:rFonts w:ascii="Calibri" w:hAnsi="Calibri"/>
                <w:sz w:val="22"/>
                <w:szCs w:val="22"/>
              </w:rPr>
            </w:pPr>
            <w:r w:rsidRPr="003E39A8">
              <w:rPr>
                <w:rFonts w:ascii="Calibri" w:hAnsi="Calibri"/>
                <w:i/>
                <w:sz w:val="22"/>
                <w:szCs w:val="22"/>
              </w:rPr>
              <w:t>[……][……][……]</w:t>
            </w:r>
          </w:p>
        </w:tc>
      </w:tr>
    </w:tbl>
    <w:p w:rsidR="00BC6F9D" w:rsidRPr="003E39A8" w:rsidRDefault="00BC6F9D" w:rsidP="00BC6F9D">
      <w:pPr>
        <w:pStyle w:val="SectionTitle"/>
        <w:ind w:firstLine="0"/>
        <w:rPr>
          <w:sz w:val="22"/>
        </w:rPr>
      </w:pPr>
    </w:p>
    <w:p w:rsidR="00BC6F9D" w:rsidRPr="003E39A8" w:rsidRDefault="00BC6F9D" w:rsidP="00BC6F9D">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b/>
                <w:i/>
                <w:sz w:val="22"/>
                <w:szCs w:val="22"/>
              </w:rPr>
              <w:t>Απάντηση:</w:t>
            </w:r>
          </w:p>
        </w:tc>
      </w:tr>
      <w:tr w:rsidR="00BC6F9D" w:rsidRPr="003E39A8" w:rsidTr="002E262D">
        <w:tc>
          <w:tcPr>
            <w:tcW w:w="4479" w:type="dxa"/>
            <w:vMerge w:val="restart"/>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 Ναι [] Όχι</w:t>
            </w:r>
          </w:p>
        </w:tc>
      </w:tr>
      <w:tr w:rsidR="00BC6F9D" w:rsidRPr="003E39A8" w:rsidTr="002E262D">
        <w:trPr>
          <w:trHeight w:val="405"/>
        </w:trPr>
        <w:tc>
          <w:tcPr>
            <w:tcW w:w="4479" w:type="dxa"/>
            <w:vMerge/>
            <w:tcBorders>
              <w:top w:val="single" w:sz="4" w:space="0" w:color="000000"/>
              <w:left w:val="single" w:sz="4" w:space="0" w:color="000000"/>
              <w:bottom w:val="single" w:sz="4" w:space="0" w:color="000000"/>
            </w:tcBorders>
            <w:shd w:val="clear" w:color="auto" w:fill="auto"/>
          </w:tcPr>
          <w:p w:rsidR="00BC6F9D" w:rsidRPr="003E39A8" w:rsidRDefault="00BC6F9D" w:rsidP="002E262D">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b/>
                <w:sz w:val="22"/>
                <w:szCs w:val="22"/>
              </w:rPr>
            </w:pPr>
          </w:p>
          <w:p w:rsidR="00BC6F9D" w:rsidRPr="003E39A8" w:rsidRDefault="00BC6F9D" w:rsidP="002E262D">
            <w:pPr>
              <w:rPr>
                <w:rFonts w:ascii="Calibri" w:hAnsi="Calibri"/>
                <w:b/>
                <w:sz w:val="22"/>
                <w:szCs w:val="22"/>
              </w:rPr>
            </w:pPr>
          </w:p>
          <w:p w:rsidR="00BC6F9D" w:rsidRPr="003E39A8" w:rsidRDefault="00BC6F9D" w:rsidP="002E262D">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BC6F9D" w:rsidRPr="003E39A8" w:rsidRDefault="00BC6F9D" w:rsidP="002E262D">
            <w:pPr>
              <w:rPr>
                <w:rFonts w:ascii="Calibri" w:hAnsi="Calibri"/>
                <w:sz w:val="22"/>
                <w:szCs w:val="22"/>
              </w:rPr>
            </w:pPr>
            <w:r w:rsidRPr="003E39A8">
              <w:rPr>
                <w:rFonts w:ascii="Calibri" w:hAnsi="Calibri"/>
                <w:sz w:val="22"/>
                <w:szCs w:val="22"/>
              </w:rPr>
              <w:t>[] Ναι [] Όχι</w:t>
            </w:r>
          </w:p>
          <w:p w:rsidR="00BC6F9D" w:rsidRPr="003E39A8" w:rsidRDefault="00BC6F9D" w:rsidP="002E262D">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BC6F9D" w:rsidRPr="003E39A8" w:rsidTr="002E262D">
        <w:tc>
          <w:tcPr>
            <w:tcW w:w="4479" w:type="dxa"/>
            <w:tcBorders>
              <w:top w:val="single" w:sz="4" w:space="0" w:color="000000"/>
              <w:left w:val="single" w:sz="4" w:space="0" w:color="000000"/>
              <w:bottom w:val="single" w:sz="4" w:space="0" w:color="000000"/>
            </w:tcBorders>
            <w:shd w:val="clear" w:color="auto" w:fill="auto"/>
          </w:tcPr>
          <w:p w:rsidR="00BC6F9D" w:rsidRPr="003E39A8" w:rsidRDefault="00BC6F9D" w:rsidP="002E262D">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6"/>
            </w:r>
            <w:r w:rsidRPr="003E39A8">
              <w:rPr>
                <w:rFonts w:ascii="Calibri" w:hAnsi="Calibri"/>
                <w:sz w:val="22"/>
                <w:szCs w:val="22"/>
              </w:rPr>
              <w:t xml:space="preserve"> :</w:t>
            </w:r>
          </w:p>
          <w:p w:rsidR="00BC6F9D" w:rsidRPr="003E39A8" w:rsidRDefault="00BC6F9D" w:rsidP="002E262D">
            <w:pPr>
              <w:rPr>
                <w:rFonts w:ascii="Calibri" w:hAnsi="Calibri"/>
                <w:sz w:val="22"/>
                <w:szCs w:val="22"/>
              </w:rPr>
            </w:pPr>
            <w:r w:rsidRPr="003E39A8">
              <w:rPr>
                <w:rFonts w:ascii="Calibri" w:hAnsi="Calibri"/>
                <w:sz w:val="22"/>
                <w:szCs w:val="22"/>
              </w:rPr>
              <w:t xml:space="preserve">α) πτώχευση, ή </w:t>
            </w:r>
          </w:p>
          <w:p w:rsidR="00BC6F9D" w:rsidRPr="003E39A8" w:rsidRDefault="00BC6F9D" w:rsidP="002E262D">
            <w:pPr>
              <w:rPr>
                <w:rFonts w:ascii="Calibri" w:hAnsi="Calibri"/>
                <w:sz w:val="22"/>
                <w:szCs w:val="22"/>
              </w:rPr>
            </w:pPr>
            <w:r w:rsidRPr="003E39A8">
              <w:rPr>
                <w:rFonts w:ascii="Calibri" w:hAnsi="Calibri"/>
                <w:sz w:val="22"/>
                <w:szCs w:val="22"/>
              </w:rPr>
              <w:t>β) διαδικασία εξυγίανσης, ή</w:t>
            </w:r>
          </w:p>
          <w:p w:rsidR="00BC6F9D" w:rsidRPr="003E39A8" w:rsidRDefault="00BC6F9D" w:rsidP="002E262D">
            <w:pPr>
              <w:rPr>
                <w:rFonts w:ascii="Calibri" w:hAnsi="Calibri"/>
                <w:sz w:val="22"/>
                <w:szCs w:val="22"/>
              </w:rPr>
            </w:pPr>
            <w:r w:rsidRPr="003E39A8">
              <w:rPr>
                <w:rFonts w:ascii="Calibri" w:hAnsi="Calibri"/>
                <w:sz w:val="22"/>
                <w:szCs w:val="22"/>
              </w:rPr>
              <w:t>γ) ειδική εκκαθάριση, ή</w:t>
            </w:r>
          </w:p>
          <w:p w:rsidR="00BC6F9D" w:rsidRPr="003E39A8" w:rsidRDefault="00BC6F9D" w:rsidP="002E262D">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BC6F9D" w:rsidRPr="003E39A8" w:rsidRDefault="00BC6F9D" w:rsidP="002E262D">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BC6F9D" w:rsidRPr="003E39A8" w:rsidRDefault="00BC6F9D" w:rsidP="002E262D">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BC6F9D" w:rsidRPr="003E39A8" w:rsidRDefault="00BC6F9D" w:rsidP="002E262D">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BC6F9D" w:rsidRPr="003E39A8" w:rsidRDefault="00BC6F9D" w:rsidP="002E262D">
            <w:pPr>
              <w:rPr>
                <w:rFonts w:ascii="Calibri" w:hAnsi="Calibri"/>
                <w:sz w:val="22"/>
                <w:szCs w:val="22"/>
              </w:rPr>
            </w:pPr>
            <w:r w:rsidRPr="003E39A8">
              <w:rPr>
                <w:rFonts w:ascii="Calibri" w:hAnsi="Calibri"/>
                <w:sz w:val="22"/>
                <w:szCs w:val="22"/>
              </w:rPr>
              <w:t>Εάν ναι:</w:t>
            </w:r>
          </w:p>
          <w:p w:rsidR="00BC6F9D" w:rsidRPr="003E39A8" w:rsidRDefault="00BC6F9D" w:rsidP="002E262D">
            <w:pPr>
              <w:rPr>
                <w:rFonts w:ascii="Calibri" w:hAnsi="Calibri"/>
                <w:sz w:val="22"/>
                <w:szCs w:val="22"/>
              </w:rPr>
            </w:pPr>
            <w:r w:rsidRPr="003E39A8">
              <w:rPr>
                <w:rFonts w:ascii="Calibri" w:hAnsi="Calibri"/>
                <w:sz w:val="22"/>
                <w:szCs w:val="22"/>
              </w:rPr>
              <w:t>- Παραθέστε λεπτομερή στοιχεία:</w:t>
            </w:r>
          </w:p>
          <w:p w:rsidR="00BC6F9D" w:rsidRPr="003E39A8" w:rsidRDefault="00BC6F9D" w:rsidP="002E262D">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27"/>
            </w:r>
            <w:r w:rsidRPr="003E39A8">
              <w:rPr>
                <w:rStyle w:val="1a"/>
                <w:rFonts w:ascii="Calibri" w:hAnsi="Calibri"/>
                <w:sz w:val="22"/>
                <w:szCs w:val="22"/>
              </w:rPr>
              <w:t xml:space="preserve"> </w:t>
            </w:r>
          </w:p>
          <w:p w:rsidR="00BC6F9D" w:rsidRPr="003E39A8" w:rsidRDefault="00BC6F9D" w:rsidP="002E262D">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C6F9D" w:rsidRPr="003E39A8" w:rsidRDefault="00BC6F9D" w:rsidP="002E262D">
            <w:pPr>
              <w:snapToGrid w:val="0"/>
              <w:rPr>
                <w:rFonts w:ascii="Calibri" w:hAnsi="Calibri"/>
                <w:sz w:val="22"/>
                <w:szCs w:val="22"/>
              </w:rPr>
            </w:pPr>
            <w:r w:rsidRPr="003E39A8">
              <w:rPr>
                <w:rFonts w:ascii="Calibri" w:hAnsi="Calibri"/>
                <w:sz w:val="22"/>
                <w:szCs w:val="22"/>
              </w:rPr>
              <w:t>[] Ναι [] Όχι</w:t>
            </w: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snapToGrid w:val="0"/>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r w:rsidRPr="003E39A8">
              <w:rPr>
                <w:rFonts w:ascii="Calibri" w:hAnsi="Calibri"/>
                <w:sz w:val="22"/>
                <w:szCs w:val="22"/>
              </w:rPr>
              <w:t>-[.......................]</w:t>
            </w: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i/>
                <w:sz w:val="22"/>
                <w:szCs w:val="22"/>
              </w:rPr>
            </w:pPr>
          </w:p>
          <w:p w:rsidR="00BC6F9D" w:rsidRPr="003E39A8" w:rsidRDefault="00BC6F9D" w:rsidP="002E262D">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BC6F9D" w:rsidRPr="003E39A8" w:rsidRDefault="00BC6F9D" w:rsidP="00BC6F9D">
      <w:pPr>
        <w:pStyle w:val="ChapterTitle"/>
      </w:pPr>
    </w:p>
    <w:p w:rsidR="00BC6F9D" w:rsidRPr="003E39A8" w:rsidRDefault="00BC6F9D" w:rsidP="00BC6F9D">
      <w:pPr>
        <w:jc w:val="center"/>
        <w:rPr>
          <w:rFonts w:ascii="Calibri" w:hAnsi="Calibri"/>
          <w:b/>
          <w:bCs/>
          <w:sz w:val="22"/>
          <w:szCs w:val="22"/>
        </w:rPr>
      </w:pPr>
    </w:p>
    <w:p w:rsidR="00BC6F9D" w:rsidRPr="003E39A8" w:rsidRDefault="00BC6F9D" w:rsidP="00BC6F9D">
      <w:pPr>
        <w:pStyle w:val="SectionTitle"/>
        <w:ind w:firstLine="0"/>
        <w:rPr>
          <w:sz w:val="22"/>
        </w:rPr>
      </w:pPr>
    </w:p>
    <w:p w:rsidR="00BC6F9D" w:rsidRPr="003E39A8" w:rsidRDefault="00BC6F9D" w:rsidP="00BC6F9D">
      <w:pPr>
        <w:jc w:val="center"/>
        <w:rPr>
          <w:rFonts w:ascii="Calibri" w:hAnsi="Calibri"/>
          <w:b/>
          <w:bCs/>
          <w:sz w:val="22"/>
          <w:szCs w:val="22"/>
        </w:rPr>
      </w:pPr>
    </w:p>
    <w:p w:rsidR="00BC6F9D" w:rsidRPr="002F4D50" w:rsidRDefault="00BC6F9D" w:rsidP="00BC6F9D">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BC6F9D" w:rsidRPr="002F4D50" w:rsidRDefault="00BC6F9D" w:rsidP="00BC6F9D">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BC6F9D" w:rsidRPr="002F4D50" w:rsidRDefault="00BC6F9D" w:rsidP="00BC6F9D">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BC6F9D" w:rsidRPr="002F4D50" w:rsidRDefault="00BC6F9D" w:rsidP="00BC6F9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9832" w:type="dxa"/>
        <w:tblInd w:w="108" w:type="dxa"/>
        <w:tblLayout w:type="fixed"/>
        <w:tblLook w:val="0000"/>
      </w:tblPr>
      <w:tblGrid>
        <w:gridCol w:w="8460"/>
        <w:gridCol w:w="1372"/>
      </w:tblGrid>
      <w:tr w:rsidR="00BC6F9D" w:rsidRPr="002F4D50" w:rsidTr="002E262D">
        <w:tc>
          <w:tcPr>
            <w:tcW w:w="8460" w:type="dxa"/>
            <w:tcBorders>
              <w:top w:val="single" w:sz="4" w:space="0" w:color="000000"/>
              <w:left w:val="single" w:sz="4" w:space="0" w:color="000000"/>
              <w:bottom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b/>
                <w:i/>
                <w:sz w:val="22"/>
                <w:szCs w:val="22"/>
              </w:rPr>
              <w:t>Απάντηση</w:t>
            </w:r>
          </w:p>
        </w:tc>
      </w:tr>
      <w:tr w:rsidR="00BC6F9D" w:rsidRPr="002F4D50" w:rsidTr="002E262D">
        <w:tc>
          <w:tcPr>
            <w:tcW w:w="8460" w:type="dxa"/>
            <w:tcBorders>
              <w:top w:val="single" w:sz="4" w:space="0" w:color="000000"/>
              <w:left w:val="single" w:sz="4" w:space="0" w:color="000000"/>
              <w:bottom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BC6F9D" w:rsidRPr="002F4D50" w:rsidRDefault="00BC6F9D" w:rsidP="002E262D">
            <w:pPr>
              <w:rPr>
                <w:rFonts w:ascii="Calibri" w:hAnsi="Calibri"/>
                <w:sz w:val="22"/>
                <w:szCs w:val="22"/>
              </w:rPr>
            </w:pPr>
            <w:r w:rsidRPr="002F4D50">
              <w:rPr>
                <w:rFonts w:ascii="Calibri" w:hAnsi="Calibri"/>
                <w:sz w:val="22"/>
                <w:szCs w:val="22"/>
              </w:rPr>
              <w:t>[] Ναι [] Όχι</w:t>
            </w:r>
          </w:p>
        </w:tc>
      </w:tr>
      <w:tr w:rsidR="00BC6F9D" w:rsidTr="002E262D">
        <w:tc>
          <w:tcPr>
            <w:tcW w:w="8460" w:type="dxa"/>
            <w:tcBorders>
              <w:top w:val="single" w:sz="4" w:space="0" w:color="000000"/>
              <w:left w:val="single" w:sz="4" w:space="0" w:color="000000"/>
              <w:bottom w:val="single" w:sz="4" w:space="0" w:color="000000"/>
            </w:tcBorders>
            <w:shd w:val="clear" w:color="auto" w:fill="auto"/>
          </w:tcPr>
          <w:p w:rsidR="00BC6F9D" w:rsidRDefault="00BC6F9D" w:rsidP="002E262D">
            <w:r w:rsidRPr="00C87955">
              <w:rPr>
                <w:rFonts w:ascii="Calibri" w:hAnsi="Calibri"/>
                <w:sz w:val="22"/>
                <w:szCs w:val="22"/>
              </w:rPr>
              <w:t>10) Ο οικονομικός φορέας προτίθεται, να αναθέσει σε τρίτους υπό μορφή υπεργολαβίας</w:t>
            </w:r>
            <w:r w:rsidRPr="008B73D3">
              <w:rPr>
                <w:rFonts w:ascii="Calibri" w:hAnsi="Calibri"/>
                <w:sz w:val="22"/>
                <w:szCs w:val="22"/>
                <w:vertAlign w:val="superscript"/>
              </w:rPr>
              <w:footnoteReference w:id="28"/>
            </w:r>
            <w:r w:rsidRPr="00C87955">
              <w:rPr>
                <w:rFonts w:ascii="Calibri" w:hAnsi="Calibri"/>
                <w:sz w:val="22"/>
                <w:szCs w:val="22"/>
              </w:rPr>
              <w:t xml:space="preserve"> το ακόλουθο τμήμα (δηλ. ποσοστό) της σύμβασης:</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BC6F9D" w:rsidRDefault="00BC6F9D" w:rsidP="002E262D">
            <w:r>
              <w:t>[....……]</w:t>
            </w:r>
          </w:p>
        </w:tc>
      </w:tr>
      <w:tr w:rsidR="00BC6F9D" w:rsidRPr="002F4D50" w:rsidTr="002E262D">
        <w:tc>
          <w:tcPr>
            <w:tcW w:w="8460" w:type="dxa"/>
            <w:tcBorders>
              <w:top w:val="single" w:sz="4" w:space="0" w:color="000000"/>
              <w:left w:val="single" w:sz="4" w:space="0" w:color="000000"/>
              <w:bottom w:val="single" w:sz="4" w:space="0" w:color="000000"/>
            </w:tcBorders>
            <w:shd w:val="clear" w:color="auto" w:fill="auto"/>
          </w:tcPr>
          <w:p w:rsidR="00BC6F9D" w:rsidRPr="002F4D50" w:rsidRDefault="00BC6F9D" w:rsidP="002E262D">
            <w:pPr>
              <w:rPr>
                <w:rFonts w:ascii="Calibri" w:hAnsi="Calibri"/>
                <w:sz w:val="22"/>
                <w:szCs w:val="22"/>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BC6F9D" w:rsidRPr="002F4D50" w:rsidRDefault="00BC6F9D" w:rsidP="002E262D">
            <w:pPr>
              <w:rPr>
                <w:rFonts w:ascii="Calibri" w:hAnsi="Calibri"/>
                <w:sz w:val="22"/>
                <w:szCs w:val="22"/>
              </w:rPr>
            </w:pPr>
          </w:p>
        </w:tc>
      </w:tr>
    </w:tbl>
    <w:p w:rsidR="00BC6F9D" w:rsidRPr="003E39A8" w:rsidRDefault="00BC6F9D" w:rsidP="00BC6F9D">
      <w:pPr>
        <w:pStyle w:val="ChapterTitle"/>
        <w:pageBreakBefore/>
      </w:pPr>
      <w:r w:rsidRPr="003E39A8">
        <w:rPr>
          <w:bCs/>
        </w:rPr>
        <w:lastRenderedPageBreak/>
        <w:t>Μέρος VI: Τελικές δηλώσεις</w:t>
      </w:r>
    </w:p>
    <w:p w:rsidR="00BC6F9D" w:rsidRPr="003E39A8" w:rsidRDefault="00BC6F9D" w:rsidP="00BC6F9D">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C6F9D" w:rsidRPr="003E39A8" w:rsidRDefault="00BC6F9D" w:rsidP="00BC6F9D">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29"/>
      </w:r>
      <w:r w:rsidRPr="003E39A8">
        <w:rPr>
          <w:rFonts w:ascii="Calibri" w:hAnsi="Calibri"/>
          <w:i/>
          <w:sz w:val="22"/>
          <w:szCs w:val="22"/>
        </w:rPr>
        <w:t>, εκτός εάν :</w:t>
      </w:r>
    </w:p>
    <w:p w:rsidR="00BC6F9D" w:rsidRPr="003E39A8" w:rsidRDefault="00BC6F9D" w:rsidP="00BC6F9D">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sz w:val="22"/>
          <w:szCs w:val="22"/>
          <w:vertAlign w:val="superscript"/>
        </w:rPr>
        <w:footnoteReference w:id="30"/>
      </w:r>
      <w:r w:rsidRPr="003E39A8">
        <w:rPr>
          <w:rStyle w:val="af4"/>
          <w:rFonts w:ascii="Calibri" w:hAnsi="Calibri"/>
          <w:i/>
          <w:sz w:val="22"/>
          <w:szCs w:val="22"/>
        </w:rPr>
        <w:t>.</w:t>
      </w:r>
    </w:p>
    <w:p w:rsidR="00BC6F9D" w:rsidRPr="003E39A8" w:rsidRDefault="00BC6F9D" w:rsidP="00BC6F9D">
      <w:pPr>
        <w:rPr>
          <w:rFonts w:ascii="Calibri" w:hAnsi="Calibri"/>
          <w:sz w:val="22"/>
          <w:szCs w:val="22"/>
        </w:rPr>
      </w:pPr>
      <w:r w:rsidRPr="003E39A8">
        <w:rPr>
          <w:rStyle w:val="af4"/>
          <w:rFonts w:ascii="Calibri" w:hAnsi="Calibri"/>
          <w:i/>
          <w:sz w:val="22"/>
          <w:szCs w:val="22"/>
        </w:rPr>
        <w:t>β) η αναθέτουσα αρχή ή ο αναθέτων φορέας έχουν ήδη στην κατοχή τους τα σχετικά έγγραφα.</w:t>
      </w:r>
    </w:p>
    <w:p w:rsidR="00BC6F9D" w:rsidRPr="003E39A8" w:rsidRDefault="00BC6F9D" w:rsidP="00BC6F9D">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BC6F9D" w:rsidRPr="003E39A8" w:rsidRDefault="00BC6F9D" w:rsidP="00BC6F9D">
      <w:pPr>
        <w:rPr>
          <w:rFonts w:ascii="Calibri" w:hAnsi="Calibri"/>
          <w:i/>
          <w:sz w:val="22"/>
          <w:szCs w:val="22"/>
        </w:rPr>
      </w:pPr>
    </w:p>
    <w:p w:rsidR="00BC6F9D" w:rsidRDefault="00BC6F9D" w:rsidP="00BC6F9D">
      <w:r w:rsidRPr="003E39A8">
        <w:rPr>
          <w:rFonts w:ascii="Calibri" w:hAnsi="Calibri"/>
          <w:i/>
          <w:sz w:val="22"/>
          <w:szCs w:val="22"/>
        </w:rPr>
        <w:t xml:space="preserve">Ημερομηνία, τόπος και, όπου ζητείται ή είναι απαραίτητο, υπογραφή(-ές): [……]   </w:t>
      </w:r>
    </w:p>
    <w:p w:rsidR="00BC6F9D" w:rsidRDefault="00BC6F9D" w:rsidP="00BC6F9D">
      <w:pPr>
        <w:keepNext/>
        <w:keepLines/>
        <w:spacing w:line="270" w:lineRule="exact"/>
        <w:rPr>
          <w:rStyle w:val="100"/>
        </w:rPr>
        <w:sectPr w:rsidR="00BC6F9D" w:rsidSect="00BC6F9D">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BC6F9D" w:rsidRDefault="00BC6F9D" w:rsidP="00BC6F9D">
      <w:pPr>
        <w:pStyle w:val="1"/>
        <w:spacing w:before="0"/>
        <w:rPr>
          <w:rStyle w:val="100"/>
        </w:rPr>
      </w:pPr>
      <w:bookmarkStart w:id="4" w:name="_Toc35257630"/>
      <w:r w:rsidRPr="00D02B0D">
        <w:rPr>
          <w:rStyle w:val="100"/>
        </w:rPr>
        <w:lastRenderedPageBreak/>
        <w:t>ΠΑΡΑΡΤΗΜΑ Ε'</w:t>
      </w:r>
      <w:bookmarkEnd w:id="1"/>
      <w:r w:rsidRPr="00D02B0D">
        <w:rPr>
          <w:rStyle w:val="100"/>
        </w:rPr>
        <w:t xml:space="preserve"> - </w:t>
      </w:r>
      <w:bookmarkStart w:id="5" w:name="bookmark72"/>
      <w:r w:rsidRPr="00D02B0D">
        <w:rPr>
          <w:rStyle w:val="100"/>
        </w:rPr>
        <w:t xml:space="preserve">ΕΝΤΥΠΟ ΟΙΚΟΝΟΜΙΚΗΣ ΠΡΟΣΦΟΡΑΣ </w:t>
      </w:r>
      <w:r>
        <w:rPr>
          <w:rStyle w:val="100"/>
        </w:rPr>
        <w:t>–</w:t>
      </w:r>
      <w:r w:rsidRPr="00D02B0D">
        <w:rPr>
          <w:rStyle w:val="100"/>
        </w:rPr>
        <w:t xml:space="preserve"> ΟΔΗΓΙΕΣ</w:t>
      </w:r>
      <w:bookmarkEnd w:id="4"/>
      <w:bookmarkEnd w:id="5"/>
    </w:p>
    <w:p w:rsidR="00BC6F9D" w:rsidRPr="00782156" w:rsidRDefault="00BC6F9D" w:rsidP="00BC6F9D">
      <w:pPr>
        <w:tabs>
          <w:tab w:val="left" w:leader="dot" w:pos="4761"/>
        </w:tabs>
        <w:spacing w:line="538" w:lineRule="exact"/>
        <w:ind w:left="580"/>
      </w:pPr>
      <w:bookmarkStart w:id="6" w:name="bookmark74"/>
    </w:p>
    <w:tbl>
      <w:tblPr>
        <w:tblW w:w="15452" w:type="dxa"/>
        <w:tblInd w:w="-441" w:type="dxa"/>
        <w:tblLayout w:type="fixed"/>
        <w:tblCellMar>
          <w:left w:w="10" w:type="dxa"/>
          <w:right w:w="10" w:type="dxa"/>
        </w:tblCellMar>
        <w:tblLook w:val="04A0"/>
      </w:tblPr>
      <w:tblGrid>
        <w:gridCol w:w="561"/>
        <w:gridCol w:w="716"/>
        <w:gridCol w:w="992"/>
        <w:gridCol w:w="992"/>
        <w:gridCol w:w="1134"/>
        <w:gridCol w:w="993"/>
        <w:gridCol w:w="992"/>
        <w:gridCol w:w="918"/>
        <w:gridCol w:w="74"/>
        <w:gridCol w:w="2268"/>
        <w:gridCol w:w="1418"/>
        <w:gridCol w:w="850"/>
        <w:gridCol w:w="1418"/>
        <w:gridCol w:w="2126"/>
      </w:tblGrid>
      <w:tr w:rsidR="00BC6F9D" w:rsidRPr="009E2278" w:rsidTr="002E262D">
        <w:trPr>
          <w:trHeight w:hRule="exact" w:val="1003"/>
        </w:trPr>
        <w:tc>
          <w:tcPr>
            <w:tcW w:w="7298" w:type="dxa"/>
            <w:gridSpan w:val="8"/>
            <w:tcBorders>
              <w:top w:val="single" w:sz="4" w:space="0" w:color="auto"/>
              <w:left w:val="single" w:sz="4" w:space="0" w:color="auto"/>
            </w:tcBorders>
            <w:shd w:val="clear" w:color="auto" w:fill="FFFFFF"/>
          </w:tcPr>
          <w:p w:rsidR="00BC6F9D" w:rsidRPr="009E2278" w:rsidRDefault="00BC6F9D" w:rsidP="002E262D">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BC6F9D" w:rsidRPr="00705412" w:rsidRDefault="00BC6F9D" w:rsidP="002E262D">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BC6F9D" w:rsidRPr="009E2278" w:rsidTr="002E262D">
        <w:trPr>
          <w:trHeight w:hRule="exact" w:val="1246"/>
        </w:trPr>
        <w:tc>
          <w:tcPr>
            <w:tcW w:w="2269" w:type="dxa"/>
            <w:gridSpan w:val="3"/>
            <w:tcBorders>
              <w:top w:val="single" w:sz="4" w:space="0" w:color="auto"/>
              <w:left w:val="single" w:sz="4" w:space="0" w:color="auto"/>
            </w:tcBorders>
            <w:shd w:val="clear" w:color="auto" w:fill="FFFFFF"/>
          </w:tcPr>
          <w:p w:rsidR="00BC6F9D" w:rsidRPr="004579F0" w:rsidRDefault="00BC6F9D" w:rsidP="002E262D">
            <w:pPr>
              <w:pStyle w:val="Bodytext0"/>
              <w:shd w:val="clear" w:color="auto" w:fill="auto"/>
              <w:spacing w:after="0" w:line="150" w:lineRule="exact"/>
              <w:ind w:left="60"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BC6F9D" w:rsidRPr="004579F0"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691C3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BC6F9D" w:rsidRPr="009E2278" w:rsidTr="002E262D">
        <w:trPr>
          <w:trHeight w:hRule="exact" w:val="480"/>
        </w:trPr>
        <w:tc>
          <w:tcPr>
            <w:tcW w:w="561" w:type="dxa"/>
            <w:tcBorders>
              <w:top w:val="single" w:sz="4" w:space="0" w:color="auto"/>
              <w:left w:val="single" w:sz="4" w:space="0" w:color="auto"/>
            </w:tcBorders>
            <w:shd w:val="clear" w:color="auto" w:fill="FFFFFF"/>
          </w:tcPr>
          <w:p w:rsidR="00BC6F9D" w:rsidRPr="004579F0"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right="240"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BC6F9D" w:rsidRPr="009E2278" w:rsidTr="002E262D">
        <w:trPr>
          <w:trHeight w:hRule="exact" w:val="2787"/>
        </w:trPr>
        <w:tc>
          <w:tcPr>
            <w:tcW w:w="561"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left="200"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0" w:line="150"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BC6F9D" w:rsidRPr="00804867" w:rsidRDefault="00BC6F9D" w:rsidP="002E262D">
            <w:pPr>
              <w:pStyle w:val="Bodytext0"/>
              <w:shd w:val="clear" w:color="auto" w:fill="auto"/>
              <w:spacing w:after="60" w:line="150"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60" w:line="150"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BC6F9D" w:rsidRPr="0067204F" w:rsidRDefault="00BC6F9D" w:rsidP="002E262D">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60" w:line="150"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BC6F9D" w:rsidRPr="0067204F" w:rsidRDefault="00BC6F9D" w:rsidP="002E262D">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60" w:line="150" w:lineRule="exact"/>
              <w:ind w:left="80"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BC6F9D" w:rsidRPr="0067204F" w:rsidRDefault="00BC6F9D" w:rsidP="002E262D">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150" w:lineRule="exact"/>
              <w:ind w:firstLine="0"/>
              <w:jc w:val="both"/>
              <w:rPr>
                <w:rStyle w:val="BodytextMicrosoftSansSerif75pt"/>
                <w:rFonts w:ascii="Tahoma" w:hAnsi="Tahoma" w:cs="Tahoma"/>
                <w:sz w:val="16"/>
                <w:szCs w:val="16"/>
              </w:rPr>
            </w:pPr>
          </w:p>
          <w:p w:rsidR="00BC6F9D" w:rsidRPr="0067204F" w:rsidRDefault="00BC6F9D" w:rsidP="002E262D">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BC6F9D" w:rsidRPr="0067204F" w:rsidRDefault="00BC6F9D" w:rsidP="002E262D">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BC6F9D" w:rsidRPr="009E2278" w:rsidTr="002E262D">
        <w:trPr>
          <w:trHeight w:hRule="exact" w:val="773"/>
        </w:trPr>
        <w:tc>
          <w:tcPr>
            <w:tcW w:w="561"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716"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992"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992"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1134"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993"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992"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992" w:type="dxa"/>
            <w:gridSpan w:val="2"/>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2268"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1418"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850"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1418" w:type="dxa"/>
            <w:tcBorders>
              <w:top w:val="single" w:sz="4" w:space="0" w:color="auto"/>
              <w:left w:val="single" w:sz="4" w:space="0" w:color="auto"/>
            </w:tcBorders>
            <w:shd w:val="clear" w:color="auto" w:fill="FFFFFF"/>
          </w:tcPr>
          <w:p w:rsidR="00BC6F9D" w:rsidRPr="004579F0" w:rsidRDefault="00BC6F9D" w:rsidP="002E262D">
            <w:pPr>
              <w:jc w:val="both"/>
              <w:rPr>
                <w:b/>
                <w:sz w:val="18"/>
                <w:szCs w:val="18"/>
              </w:rPr>
            </w:pPr>
          </w:p>
        </w:tc>
        <w:tc>
          <w:tcPr>
            <w:tcW w:w="2126" w:type="dxa"/>
            <w:tcBorders>
              <w:top w:val="single" w:sz="4" w:space="0" w:color="auto"/>
              <w:left w:val="single" w:sz="4" w:space="0" w:color="auto"/>
              <w:right w:val="single" w:sz="4" w:space="0" w:color="auto"/>
            </w:tcBorders>
            <w:shd w:val="clear" w:color="auto" w:fill="FFFFFF"/>
          </w:tcPr>
          <w:p w:rsidR="00BC6F9D" w:rsidRPr="004579F0" w:rsidRDefault="00BC6F9D" w:rsidP="002E262D">
            <w:pPr>
              <w:jc w:val="both"/>
              <w:rPr>
                <w:b/>
                <w:sz w:val="18"/>
                <w:szCs w:val="18"/>
              </w:rPr>
            </w:pPr>
          </w:p>
        </w:tc>
      </w:tr>
      <w:tr w:rsidR="00BC6F9D" w:rsidRPr="009E2278" w:rsidTr="002E262D">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BC6F9D" w:rsidRPr="004579F0" w:rsidRDefault="00BC6F9D" w:rsidP="002E262D">
            <w:pPr>
              <w:pStyle w:val="Bodytext0"/>
              <w:shd w:val="clear" w:color="auto" w:fill="auto"/>
              <w:spacing w:after="0" w:line="150" w:lineRule="exact"/>
              <w:ind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BC6F9D" w:rsidRPr="001B7A88" w:rsidRDefault="00BC6F9D" w:rsidP="002E262D">
            <w:pPr>
              <w:pStyle w:val="Bodytext0"/>
              <w:shd w:val="clear" w:color="auto" w:fill="auto"/>
              <w:spacing w:after="0" w:line="150" w:lineRule="exact"/>
              <w:ind w:right="20" w:firstLine="0"/>
              <w:jc w:val="both"/>
              <w:rPr>
                <w:rStyle w:val="BodytextMicrosoftSansSerif75pt"/>
                <w:rFonts w:ascii="Tahoma" w:hAnsi="Tahoma" w:cs="Tahoma"/>
                <w:sz w:val="18"/>
                <w:szCs w:val="18"/>
              </w:rPr>
            </w:pPr>
          </w:p>
          <w:p w:rsidR="00BC6F9D" w:rsidRPr="004579F0" w:rsidRDefault="00BC6F9D" w:rsidP="002E262D">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BC6F9D" w:rsidRPr="004579F0" w:rsidRDefault="00BC6F9D" w:rsidP="002E262D">
            <w:pPr>
              <w:pStyle w:val="Bodytext0"/>
              <w:shd w:val="clear" w:color="auto" w:fill="auto"/>
              <w:spacing w:after="0" w:line="150" w:lineRule="exact"/>
              <w:ind w:right="40" w:firstLine="0"/>
              <w:jc w:val="both"/>
              <w:rPr>
                <w:rStyle w:val="BodytextMicrosoftSansSerif75pt"/>
                <w:rFonts w:ascii="Tahoma" w:hAnsi="Tahoma" w:cs="Tahoma"/>
                <w:sz w:val="18"/>
                <w:szCs w:val="18"/>
                <w:lang w:val="en-US"/>
              </w:rPr>
            </w:pPr>
          </w:p>
          <w:p w:rsidR="00BC6F9D" w:rsidRPr="004579F0" w:rsidRDefault="00BC6F9D" w:rsidP="002E262D">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BC6F9D" w:rsidRPr="004579F0" w:rsidRDefault="00BC6F9D" w:rsidP="002E262D">
            <w:pPr>
              <w:jc w:val="both"/>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BC6F9D" w:rsidRPr="004579F0" w:rsidRDefault="00BC6F9D" w:rsidP="002E262D">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BC6F9D" w:rsidRPr="004579F0" w:rsidRDefault="00BC6F9D" w:rsidP="002E262D">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C6F9D" w:rsidRPr="004579F0" w:rsidRDefault="00BC6F9D" w:rsidP="002E262D">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BC6F9D" w:rsidRPr="004579F0" w:rsidRDefault="00BC6F9D" w:rsidP="002E262D">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BC6F9D" w:rsidRDefault="00BC6F9D" w:rsidP="00BC6F9D">
      <w:pPr>
        <w:tabs>
          <w:tab w:val="left" w:leader="dot" w:pos="4761"/>
        </w:tabs>
        <w:spacing w:line="538" w:lineRule="exact"/>
        <w:ind w:left="580"/>
        <w:rPr>
          <w:lang w:val="en-US"/>
        </w:rPr>
      </w:pPr>
    </w:p>
    <w:bookmarkEnd w:id="6"/>
    <w:p w:rsidR="00BC6F9D" w:rsidRPr="001241FD" w:rsidRDefault="00BC6F9D" w:rsidP="00BC6F9D">
      <w:pPr>
        <w:tabs>
          <w:tab w:val="left" w:leader="dot" w:pos="4761"/>
        </w:tabs>
        <w:spacing w:line="538" w:lineRule="exact"/>
        <w:ind w:left="580"/>
        <w:rPr>
          <w:rFonts w:asciiTheme="majorHAnsi" w:hAnsiTheme="majorHAnsi"/>
          <w:sz w:val="20"/>
          <w:szCs w:val="20"/>
        </w:rPr>
      </w:pPr>
      <w:r w:rsidRPr="001241FD">
        <w:rPr>
          <w:rFonts w:asciiTheme="majorHAnsi" w:hAnsiTheme="majorHAnsi"/>
          <w:sz w:val="20"/>
          <w:szCs w:val="20"/>
        </w:rPr>
        <w:t xml:space="preserve">Ο Χρόνος Ισχύος της Προσφοράς είναι (αριθμητικώς και ολογράφως) : </w:t>
      </w:r>
      <w:r w:rsidRPr="001241FD">
        <w:rPr>
          <w:rFonts w:asciiTheme="majorHAnsi" w:hAnsiTheme="majorHAnsi"/>
          <w:sz w:val="20"/>
          <w:szCs w:val="20"/>
        </w:rPr>
        <w:tab/>
        <w:t>ημέρες</w:t>
      </w:r>
    </w:p>
    <w:p w:rsidR="00BC6F9D" w:rsidRPr="008B73D3" w:rsidRDefault="00BC6F9D" w:rsidP="00BC6F9D">
      <w:pPr>
        <w:tabs>
          <w:tab w:val="left" w:leader="dot" w:pos="4761"/>
        </w:tabs>
        <w:spacing w:line="538" w:lineRule="exact"/>
        <w:ind w:left="580"/>
        <w:rPr>
          <w:rFonts w:asciiTheme="majorHAnsi" w:hAnsiTheme="majorHAnsi"/>
          <w:sz w:val="20"/>
          <w:szCs w:val="20"/>
        </w:rPr>
      </w:pPr>
      <w:r w:rsidRPr="008B73D3">
        <w:rPr>
          <w:rFonts w:asciiTheme="majorHAnsi" w:hAnsiTheme="majorHAnsi"/>
          <w:sz w:val="20"/>
          <w:szCs w:val="20"/>
        </w:rPr>
        <w:t>Ο Νόμιμος Εκπρόσωπος :</w:t>
      </w:r>
      <w:r w:rsidRPr="008B73D3">
        <w:rPr>
          <w:rFonts w:asciiTheme="majorHAnsi" w:hAnsiTheme="majorHAnsi"/>
          <w:sz w:val="20"/>
          <w:szCs w:val="20"/>
        </w:rPr>
        <w:tab/>
      </w:r>
    </w:p>
    <w:p w:rsidR="00BC6F9D" w:rsidRPr="008B73D3" w:rsidRDefault="00BC6F9D" w:rsidP="00BC6F9D">
      <w:pPr>
        <w:keepNext/>
        <w:keepLines/>
        <w:spacing w:after="240" w:line="210" w:lineRule="exact"/>
        <w:ind w:left="301" w:firstLine="278"/>
        <w:rPr>
          <w:rFonts w:asciiTheme="majorHAnsi" w:hAnsiTheme="majorHAnsi"/>
          <w:sz w:val="20"/>
          <w:szCs w:val="20"/>
        </w:rPr>
      </w:pPr>
      <w:bookmarkStart w:id="7" w:name="bookmark75"/>
      <w:r w:rsidRPr="008B73D3">
        <w:rPr>
          <w:rFonts w:asciiTheme="majorHAnsi" w:hAnsiTheme="majorHAnsi"/>
          <w:sz w:val="20"/>
          <w:szCs w:val="20"/>
        </w:rPr>
        <w:t>Ημερομηνία</w:t>
      </w:r>
      <w:bookmarkEnd w:id="7"/>
      <w:r w:rsidRPr="008B73D3">
        <w:rPr>
          <w:rFonts w:asciiTheme="majorHAnsi" w:hAnsiTheme="majorHAnsi"/>
          <w:sz w:val="20"/>
          <w:szCs w:val="20"/>
        </w:rPr>
        <w:t xml:space="preserve"> (Υπογραφή - Σφραγίδα)</w:t>
      </w:r>
      <w:bookmarkStart w:id="8" w:name="bookmark76"/>
    </w:p>
    <w:p w:rsidR="00BC6F9D" w:rsidRPr="008B73D3" w:rsidRDefault="00BC6F9D" w:rsidP="00BC6F9D">
      <w:pPr>
        <w:keepNext/>
        <w:keepLines/>
        <w:spacing w:after="240" w:line="210" w:lineRule="exact"/>
        <w:ind w:left="301" w:firstLine="278"/>
        <w:rPr>
          <w:rFonts w:asciiTheme="majorHAnsi" w:hAnsiTheme="majorHAnsi"/>
          <w:sz w:val="20"/>
          <w:szCs w:val="20"/>
        </w:rPr>
      </w:pPr>
      <w:r w:rsidRPr="008B73D3">
        <w:rPr>
          <w:rStyle w:val="2115"/>
          <w:rFonts w:asciiTheme="majorHAnsi" w:hAnsiTheme="majorHAnsi"/>
          <w:sz w:val="20"/>
          <w:szCs w:val="20"/>
        </w:rPr>
        <w:t>ΟΔΗΓΙΕΣ</w:t>
      </w:r>
      <w:r w:rsidRPr="008B73D3">
        <w:rPr>
          <w:rFonts w:asciiTheme="majorHAnsi" w:hAnsiTheme="majorHAnsi"/>
          <w:sz w:val="20"/>
          <w:szCs w:val="20"/>
        </w:rPr>
        <w:t xml:space="preserve"> (Ειδικές απαιτήσεις οικονομικής προσφοράς)</w:t>
      </w:r>
      <w:bookmarkEnd w:id="8"/>
    </w:p>
    <w:p w:rsidR="00BC6F9D" w:rsidRPr="008B73D3" w:rsidRDefault="00BC6F9D" w:rsidP="00BC6F9D">
      <w:pPr>
        <w:pStyle w:val="49"/>
        <w:numPr>
          <w:ilvl w:val="4"/>
          <w:numId w:val="16"/>
        </w:numPr>
        <w:shd w:val="clear" w:color="auto" w:fill="auto"/>
        <w:tabs>
          <w:tab w:val="left" w:pos="582"/>
        </w:tabs>
        <w:spacing w:line="274" w:lineRule="exact"/>
        <w:ind w:left="300" w:right="20" w:hanging="280"/>
        <w:jc w:val="both"/>
        <w:rPr>
          <w:rFonts w:asciiTheme="majorHAnsi" w:hAnsiTheme="majorHAnsi"/>
        </w:rPr>
      </w:pPr>
      <w:r w:rsidRPr="008B73D3">
        <w:rPr>
          <w:rFonts w:asciiTheme="majorHAnsi" w:hAnsiTheme="majorHAnsi"/>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BC6F9D" w:rsidRPr="008B73D3" w:rsidRDefault="00BC6F9D" w:rsidP="00BC6F9D">
      <w:pPr>
        <w:pStyle w:val="49"/>
        <w:numPr>
          <w:ilvl w:val="4"/>
          <w:numId w:val="16"/>
        </w:numPr>
        <w:shd w:val="clear" w:color="auto" w:fill="auto"/>
        <w:tabs>
          <w:tab w:val="left" w:pos="610"/>
        </w:tabs>
        <w:spacing w:line="274" w:lineRule="exact"/>
        <w:ind w:left="300" w:right="20" w:hanging="280"/>
        <w:jc w:val="both"/>
        <w:rPr>
          <w:rFonts w:asciiTheme="majorHAnsi" w:hAnsiTheme="majorHAnsi"/>
        </w:rPr>
      </w:pPr>
      <w:r w:rsidRPr="008B73D3">
        <w:rPr>
          <w:rFonts w:asciiTheme="majorHAnsi" w:hAnsiTheme="majorHAnsi"/>
        </w:rPr>
        <w:t>Προσφορά που δίνει τιμή σε συνάλλαγμα ή σε ρήτρα συναλλάγματος απορρίπτεται ως απαράδεκτη.</w:t>
      </w:r>
    </w:p>
    <w:p w:rsidR="00BC6F9D" w:rsidRPr="008B73D3" w:rsidRDefault="00BC6F9D" w:rsidP="00BC6F9D">
      <w:pPr>
        <w:pStyle w:val="49"/>
        <w:numPr>
          <w:ilvl w:val="4"/>
          <w:numId w:val="16"/>
        </w:numPr>
        <w:shd w:val="clear" w:color="auto" w:fill="auto"/>
        <w:tabs>
          <w:tab w:val="left" w:pos="606"/>
        </w:tabs>
        <w:spacing w:line="274" w:lineRule="exact"/>
        <w:ind w:left="300" w:right="20" w:hanging="280"/>
        <w:jc w:val="both"/>
        <w:rPr>
          <w:rFonts w:asciiTheme="majorHAnsi" w:hAnsiTheme="majorHAnsi"/>
        </w:rPr>
      </w:pPr>
      <w:r w:rsidRPr="008B73D3">
        <w:rPr>
          <w:rFonts w:asciiTheme="majorHAnsi" w:hAnsiTheme="majorHAnsi"/>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C6F9D" w:rsidRPr="008B73D3" w:rsidRDefault="00BC6F9D" w:rsidP="00BC6F9D">
      <w:pPr>
        <w:pStyle w:val="49"/>
        <w:numPr>
          <w:ilvl w:val="4"/>
          <w:numId w:val="16"/>
        </w:numPr>
        <w:shd w:val="clear" w:color="auto" w:fill="auto"/>
        <w:tabs>
          <w:tab w:val="left" w:pos="610"/>
        </w:tabs>
        <w:spacing w:line="274" w:lineRule="exact"/>
        <w:ind w:left="300" w:right="20" w:hanging="280"/>
        <w:jc w:val="both"/>
        <w:rPr>
          <w:rFonts w:asciiTheme="majorHAnsi" w:hAnsiTheme="majorHAnsi"/>
        </w:rPr>
      </w:pPr>
      <w:r w:rsidRPr="008B73D3">
        <w:rPr>
          <w:rFonts w:asciiTheme="majorHAnsi" w:hAnsiTheme="majorHAnsi"/>
        </w:rPr>
        <w:t>Εφόσον από την προσφορά δεν προκύπτει με σαφήνεια η προσφερόμενη τιμή η προσφορά απορρίπτεται σαν απαράδεκτη.</w:t>
      </w:r>
    </w:p>
    <w:p w:rsidR="00BC6F9D" w:rsidRPr="008B73D3" w:rsidRDefault="00BC6F9D" w:rsidP="00BC6F9D">
      <w:pPr>
        <w:pStyle w:val="49"/>
        <w:numPr>
          <w:ilvl w:val="4"/>
          <w:numId w:val="16"/>
        </w:numPr>
        <w:shd w:val="clear" w:color="auto" w:fill="auto"/>
        <w:tabs>
          <w:tab w:val="left" w:pos="601"/>
        </w:tabs>
        <w:spacing w:line="274" w:lineRule="exact"/>
        <w:ind w:left="300" w:right="20" w:hanging="280"/>
        <w:jc w:val="both"/>
        <w:rPr>
          <w:rFonts w:asciiTheme="majorHAnsi" w:hAnsiTheme="majorHAnsi"/>
        </w:rPr>
      </w:pPr>
      <w:r w:rsidRPr="008B73D3">
        <w:rPr>
          <w:rFonts w:asciiTheme="majorHAnsi" w:hAnsiTheme="majorHAnsi"/>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BC6F9D" w:rsidRPr="008B73D3" w:rsidRDefault="00BC6F9D" w:rsidP="00BC6F9D">
      <w:pPr>
        <w:pStyle w:val="49"/>
        <w:numPr>
          <w:ilvl w:val="4"/>
          <w:numId w:val="16"/>
        </w:numPr>
        <w:shd w:val="clear" w:color="auto" w:fill="auto"/>
        <w:tabs>
          <w:tab w:val="left" w:pos="596"/>
        </w:tabs>
        <w:spacing w:line="274" w:lineRule="exact"/>
        <w:ind w:left="300" w:right="20" w:hanging="280"/>
        <w:jc w:val="both"/>
        <w:rPr>
          <w:rFonts w:asciiTheme="majorHAnsi" w:hAnsiTheme="majorHAnsi"/>
        </w:rPr>
      </w:pPr>
      <w:r w:rsidRPr="008B73D3">
        <w:rPr>
          <w:rFonts w:asciiTheme="majorHAnsi" w:hAnsiTheme="majorHAnsi"/>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C6F9D" w:rsidRPr="008B73D3" w:rsidRDefault="00BC6F9D" w:rsidP="00BC6F9D">
      <w:pPr>
        <w:pStyle w:val="49"/>
        <w:numPr>
          <w:ilvl w:val="4"/>
          <w:numId w:val="16"/>
        </w:numPr>
        <w:shd w:val="clear" w:color="auto" w:fill="auto"/>
        <w:tabs>
          <w:tab w:val="left" w:pos="591"/>
        </w:tabs>
        <w:spacing w:line="274" w:lineRule="exact"/>
        <w:ind w:left="300" w:right="20" w:hanging="280"/>
        <w:jc w:val="both"/>
        <w:rPr>
          <w:rFonts w:asciiTheme="majorHAnsi" w:hAnsiTheme="majorHAnsi"/>
        </w:rPr>
      </w:pPr>
      <w:r w:rsidRPr="008B73D3">
        <w:rPr>
          <w:rFonts w:asciiTheme="majorHAnsi" w:hAnsiTheme="majorHAnsi"/>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BC6F9D" w:rsidRPr="008B73D3" w:rsidRDefault="00BC6F9D" w:rsidP="00BC6F9D">
      <w:pPr>
        <w:pStyle w:val="49"/>
        <w:numPr>
          <w:ilvl w:val="4"/>
          <w:numId w:val="16"/>
        </w:numPr>
        <w:shd w:val="clear" w:color="auto" w:fill="auto"/>
        <w:tabs>
          <w:tab w:val="left" w:pos="591"/>
        </w:tabs>
        <w:spacing w:line="274" w:lineRule="exact"/>
        <w:ind w:left="300" w:right="20" w:hanging="280"/>
        <w:jc w:val="both"/>
        <w:rPr>
          <w:rFonts w:asciiTheme="majorHAnsi" w:hAnsiTheme="majorHAnsi"/>
        </w:rPr>
      </w:pPr>
      <w:r w:rsidRPr="008B73D3">
        <w:rPr>
          <w:rFonts w:asciiTheme="majorHAnsi" w:hAnsiTheme="majorHAnsi"/>
        </w:rP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BC6F9D" w:rsidRPr="008B73D3" w:rsidRDefault="00BC6F9D" w:rsidP="00BC6F9D">
      <w:pPr>
        <w:pStyle w:val="49"/>
        <w:numPr>
          <w:ilvl w:val="4"/>
          <w:numId w:val="16"/>
        </w:numPr>
        <w:shd w:val="clear" w:color="auto" w:fill="auto"/>
        <w:tabs>
          <w:tab w:val="left" w:pos="591"/>
        </w:tabs>
        <w:spacing w:line="274" w:lineRule="exact"/>
        <w:ind w:left="300" w:right="20" w:hanging="280"/>
        <w:jc w:val="both"/>
        <w:rPr>
          <w:rFonts w:asciiTheme="majorHAnsi" w:hAnsiTheme="majorHAnsi"/>
        </w:rPr>
      </w:pPr>
      <w:r w:rsidRPr="008B73D3">
        <w:rPr>
          <w:rFonts w:asciiTheme="majorHAnsi" w:hAnsiTheme="majorHAnsi"/>
        </w:rPr>
        <w:t>Απορρίπτεται προσφορά η οποία υποβάλλεται μόνο για μέρος των ειδών/εξετάσεων του τμήματος για το/τα οποία υποβάλλεται.</w:t>
      </w:r>
    </w:p>
    <w:p w:rsidR="00BC6F9D" w:rsidRDefault="00BC6F9D">
      <w:pPr>
        <w:sectPr w:rsidR="00BC6F9D" w:rsidSect="00BC6F9D">
          <w:pgSz w:w="16838" w:h="11906" w:orient="landscape"/>
          <w:pgMar w:top="1797" w:right="1440" w:bottom="1797" w:left="1440" w:header="709" w:footer="709" w:gutter="0"/>
          <w:cols w:space="708"/>
          <w:docGrid w:linePitch="360"/>
        </w:sectPr>
      </w:pPr>
    </w:p>
    <w:p w:rsidR="00CC3460" w:rsidRDefault="00CC3460" w:rsidP="00BC6F9D"/>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A2F" w:rsidRDefault="00997A2F" w:rsidP="00BC6F9D">
      <w:r>
        <w:separator/>
      </w:r>
    </w:p>
  </w:endnote>
  <w:endnote w:type="continuationSeparator" w:id="1">
    <w:p w:rsidR="00997A2F" w:rsidRDefault="00997A2F" w:rsidP="00BC6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Microsoft Sans Serif">
    <w:panose1 w:val="020B0604020202020204"/>
    <w:charset w:val="A1"/>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BC6F9D" w:rsidRDefault="00BC6F9D">
        <w:pPr>
          <w:pStyle w:val="af0"/>
          <w:jc w:val="center"/>
        </w:pPr>
        <w:r>
          <w:t>[</w:t>
        </w:r>
        <w:fldSimple w:instr=" PAGE   \* MERGEFORMAT ">
          <w:r>
            <w:rPr>
              <w:noProof/>
            </w:rPr>
            <w:t>25</w:t>
          </w:r>
        </w:fldSimple>
        <w:r>
          <w:t>]</w:t>
        </w:r>
      </w:p>
    </w:sdtContent>
  </w:sdt>
  <w:p w:rsidR="00BC6F9D" w:rsidRDefault="00BC6F9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A2F" w:rsidRDefault="00997A2F" w:rsidP="00BC6F9D">
      <w:r>
        <w:separator/>
      </w:r>
    </w:p>
  </w:footnote>
  <w:footnote w:type="continuationSeparator" w:id="1">
    <w:p w:rsidR="00997A2F" w:rsidRDefault="00997A2F" w:rsidP="00BC6F9D">
      <w:r>
        <w:continuationSeparator/>
      </w:r>
    </w:p>
  </w:footnote>
  <w:footnote w:id="2">
    <w:p w:rsidR="00BC6F9D" w:rsidRPr="00A61ED9" w:rsidRDefault="00BC6F9D" w:rsidP="00BC6F9D">
      <w:pPr>
        <w:pStyle w:val="af8"/>
        <w:tabs>
          <w:tab w:val="left" w:pos="284"/>
        </w:tabs>
        <w:rPr>
          <w:rFonts w:asciiTheme="majorHAnsi" w:hAnsiTheme="majorHAnsi"/>
        </w:rPr>
      </w:pPr>
      <w:r w:rsidRPr="00A61ED9">
        <w:rPr>
          <w:rStyle w:val="afc"/>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C6F9D" w:rsidRPr="00A61ED9" w:rsidRDefault="00BC6F9D" w:rsidP="00BC6F9D">
      <w:pPr>
        <w:pStyle w:val="af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C6F9D" w:rsidRPr="00A61ED9" w:rsidRDefault="00BC6F9D" w:rsidP="00BC6F9D">
      <w:pPr>
        <w:pStyle w:val="af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C6F9D" w:rsidRPr="00A61ED9" w:rsidRDefault="00BC6F9D" w:rsidP="00BC6F9D">
      <w:pPr>
        <w:pStyle w:val="af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C6F9D" w:rsidRPr="00A61ED9" w:rsidRDefault="00BC6F9D" w:rsidP="00BC6F9D">
      <w:pPr>
        <w:pStyle w:val="af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BC6F9D" w:rsidRPr="00A61ED9" w:rsidRDefault="00BC6F9D" w:rsidP="00BC6F9D">
      <w:pPr>
        <w:pStyle w:val="af8"/>
        <w:tabs>
          <w:tab w:val="left" w:pos="284"/>
        </w:tabs>
        <w:spacing w:after="200"/>
        <w:rPr>
          <w:rFonts w:asciiTheme="majorHAnsi" w:hAnsiTheme="majorHAnsi"/>
        </w:rPr>
      </w:pPr>
      <w:r w:rsidRPr="00A61ED9">
        <w:rPr>
          <w:rStyle w:val="afc"/>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BC6F9D" w:rsidRPr="00D3109F" w:rsidRDefault="00BC6F9D" w:rsidP="00BC6F9D">
      <w:pPr>
        <w:pStyle w:val="af8"/>
        <w:tabs>
          <w:tab w:val="left" w:pos="284"/>
        </w:tabs>
        <w:rPr>
          <w:rFonts w:asciiTheme="minorHAnsi" w:hAnsiTheme="minorHAnsi"/>
        </w:rPr>
      </w:pPr>
      <w:r w:rsidRPr="00A61ED9">
        <w:rPr>
          <w:rStyle w:val="afc"/>
          <w:rFonts w:asciiTheme="majorHAnsi" w:eastAsia="Calibri" w:hAnsiTheme="majorHAnsi"/>
        </w:rPr>
        <w:footnoteRef/>
      </w:r>
      <w:r w:rsidRPr="00A61ED9">
        <w:rPr>
          <w:rFonts w:asciiTheme="majorHAnsi" w:hAnsiTheme="majorHAnsi"/>
        </w:rPr>
        <w:tab/>
        <w:t>Άρθρο 73 παρ. 5.</w:t>
      </w:r>
    </w:p>
  </w:footnote>
  <w:footnote w:id="28">
    <w:p w:rsidR="00BC6F9D" w:rsidRDefault="00BC6F9D" w:rsidP="00BC6F9D">
      <w:pPr>
        <w:pStyle w:val="af8"/>
        <w:tabs>
          <w:tab w:val="left" w:pos="284"/>
        </w:tabs>
      </w:pPr>
      <w:r>
        <w:rPr>
          <w:rStyle w:val="afc"/>
          <w:rFonts w:eastAsia="Calibri"/>
        </w:rPr>
        <w:footnoteRef/>
      </w:r>
      <w:r>
        <w:tab/>
      </w:r>
      <w:r w:rsidRPr="008B73D3">
        <w:rPr>
          <w:rFonts w:asciiTheme="majorHAnsi" w:hAnsiTheme="majorHAnsi"/>
          <w:sz w:val="16"/>
          <w:szCs w:val="16"/>
        </w:rPr>
        <w:t xml:space="preserve">Επισημαίνεται ότι εάν ο οικονομικός φορέας </w:t>
      </w:r>
      <w:r w:rsidRPr="008B73D3">
        <w:rPr>
          <w:rFonts w:asciiTheme="majorHAnsi" w:hAnsiTheme="majorHAnsi"/>
          <w:b/>
          <w:sz w:val="16"/>
          <w:szCs w:val="16"/>
          <w:u w:val="single"/>
        </w:rPr>
        <w:t>έχει</w:t>
      </w:r>
      <w:r w:rsidRPr="008B73D3">
        <w:rPr>
          <w:rFonts w:asciiTheme="majorHAnsi" w:hAnsiTheme="majorHAnsi"/>
          <w:sz w:val="16"/>
          <w:szCs w:val="16"/>
        </w:rPr>
        <w:t xml:space="preserve"> αποφασίσει να αναθέσει τμήμα της σύμβασης σε τρίτους υπό μορφή υπεργολαβίας </w:t>
      </w:r>
      <w:r w:rsidRPr="008B73D3">
        <w:rPr>
          <w:rFonts w:asciiTheme="majorHAnsi" w:hAnsiTheme="majorHAnsi"/>
          <w:b/>
          <w:sz w:val="16"/>
          <w:szCs w:val="16"/>
          <w:u w:val="single"/>
        </w:rPr>
        <w:t>και</w:t>
      </w:r>
      <w:r w:rsidRPr="008B73D3">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BC6F9D" w:rsidRPr="00A61ED9" w:rsidRDefault="00BC6F9D" w:rsidP="00BC6F9D">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Πρβλ και άρθρο 1 ν. 4250/2014</w:t>
      </w:r>
    </w:p>
  </w:footnote>
  <w:footnote w:id="30">
    <w:p w:rsidR="00BC6F9D" w:rsidRDefault="00BC6F9D" w:rsidP="00BC6F9D">
      <w:pPr>
        <w:pStyle w:val="af8"/>
        <w:tabs>
          <w:tab w:val="left" w:pos="284"/>
        </w:tabs>
      </w:pPr>
      <w:r w:rsidRPr="00A61ED9">
        <w:rPr>
          <w:rStyle w:val="afc"/>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F9D" w:rsidRDefault="00BC6F9D">
    <w:pPr>
      <w:rPr>
        <w:sz w:val="2"/>
        <w:szCs w:val="2"/>
      </w:rPr>
    </w:pPr>
  </w:p>
  <w:p w:rsidR="00BC6F9D" w:rsidRDefault="00BC6F9D" w:rsidP="000875EA">
    <w:pPr>
      <w:jc w:val="right"/>
    </w:pPr>
  </w:p>
  <w:p w:rsidR="00BC6F9D" w:rsidRPr="00A65E33" w:rsidRDefault="00BC6F9D"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αντιδραστηρίων για την εξακρίβωση της ομάδας αίματος</w:t>
    </w:r>
    <w:r w:rsidRPr="00A65E33">
      <w:rPr>
        <w:rFonts w:asciiTheme="minorHAnsi" w:hAnsiTheme="minorHAnsi"/>
        <w:sz w:val="20"/>
        <w:szCs w:val="20"/>
      </w:rPr>
      <w:t xml:space="preserve"> </w:t>
    </w:r>
    <w:r>
      <w:rPr>
        <w:rFonts w:asciiTheme="minorHAnsi" w:hAnsiTheme="minorHAnsi"/>
        <w:sz w:val="20"/>
        <w:szCs w:val="20"/>
      </w:rPr>
      <w:t xml:space="preserve">με ταυτόχρονη παραχώρηση συνοδού εξοπλισμού </w:t>
    </w:r>
    <w:r w:rsidRPr="00A65E33">
      <w:rPr>
        <w:rFonts w:asciiTheme="minorHAnsi" w:hAnsiTheme="minorHAnsi"/>
        <w:sz w:val="20"/>
        <w:szCs w:val="20"/>
      </w:rPr>
      <w:t xml:space="preserve">για τις ανάγκες </w:t>
    </w:r>
    <w:r>
      <w:rPr>
        <w:rFonts w:asciiTheme="minorHAnsi" w:hAnsiTheme="minorHAnsi"/>
        <w:sz w:val="20"/>
        <w:szCs w:val="20"/>
      </w:rPr>
      <w:t xml:space="preserve">της Οργανικής Μονάδας Έδρας </w:t>
    </w:r>
    <w:r w:rsidRPr="00A65E33">
      <w:rPr>
        <w:rFonts w:asciiTheme="minorHAnsi" w:hAnsiTheme="minorHAnsi"/>
        <w:sz w:val="20"/>
        <w:szCs w:val="20"/>
      </w:rPr>
      <w:t>του Γ.Ν. Λασιθίου</w:t>
    </w:r>
  </w:p>
  <w:p w:rsidR="00BC6F9D" w:rsidRPr="000875EA" w:rsidRDefault="00BC6F9D"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59B3"/>
    <w:multiLevelType w:val="singleLevel"/>
    <w:tmpl w:val="BC7C8E1E"/>
    <w:lvl w:ilvl="0">
      <w:start w:val="7"/>
      <w:numFmt w:val="bullet"/>
      <w:lvlText w:val="-"/>
      <w:lvlJc w:val="left"/>
      <w:pPr>
        <w:tabs>
          <w:tab w:val="num" w:pos="360"/>
        </w:tabs>
        <w:ind w:left="360" w:hanging="360"/>
      </w:pPr>
      <w:rPr>
        <w:rFonts w:hint="default"/>
      </w:rPr>
    </w:lvl>
  </w:abstractNum>
  <w:abstractNum w:abstractNumId="5">
    <w:nsid w:val="0FA67A79"/>
    <w:multiLevelType w:val="multilevel"/>
    <w:tmpl w:val="3E489AF0"/>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440"/>
        </w:tabs>
        <w:ind w:left="1440" w:hanging="144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800"/>
        </w:tabs>
        <w:ind w:left="1800" w:hanging="1800"/>
      </w:pPr>
      <w:rPr>
        <w:rFonts w:hint="default"/>
        <w:b w:val="0"/>
        <w:sz w:val="24"/>
      </w:rPr>
    </w:lvl>
    <w:lvl w:ilvl="8">
      <w:start w:val="1"/>
      <w:numFmt w:val="decimal"/>
      <w:lvlText w:val="%1.%2.%3.%4.%5.%6.%7.%8.%9"/>
      <w:lvlJc w:val="left"/>
      <w:pPr>
        <w:tabs>
          <w:tab w:val="num" w:pos="2160"/>
        </w:tabs>
        <w:ind w:left="2160" w:hanging="2160"/>
      </w:pPr>
      <w:rPr>
        <w:rFonts w:hint="default"/>
        <w:b w:val="0"/>
        <w:sz w:val="24"/>
      </w:rPr>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32817DE"/>
    <w:multiLevelType w:val="multilevel"/>
    <w:tmpl w:val="B7AE349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4">
    <w:nsid w:val="251F5796"/>
    <w:multiLevelType w:val="multilevel"/>
    <w:tmpl w:val="B936C24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752A09"/>
    <w:multiLevelType w:val="singleLevel"/>
    <w:tmpl w:val="04080001"/>
    <w:lvl w:ilvl="0">
      <w:start w:val="6"/>
      <w:numFmt w:val="bullet"/>
      <w:lvlText w:val=""/>
      <w:lvlJc w:val="left"/>
      <w:pPr>
        <w:tabs>
          <w:tab w:val="num" w:pos="360"/>
        </w:tabs>
        <w:ind w:left="360" w:hanging="360"/>
      </w:pPr>
      <w:rPr>
        <w:rFonts w:ascii="Symbol" w:hAnsi="Symbol" w:hint="default"/>
      </w:rPr>
    </w:lvl>
  </w:abstractNum>
  <w:abstractNum w:abstractNumId="18">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9">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726730"/>
    <w:multiLevelType w:val="multilevel"/>
    <w:tmpl w:val="C5B66D5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886819"/>
    <w:multiLevelType w:val="hybridMultilevel"/>
    <w:tmpl w:val="C5C496F2"/>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34">
    <w:nsid w:val="69077EE4"/>
    <w:multiLevelType w:val="hybridMultilevel"/>
    <w:tmpl w:val="86F28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C521D9A"/>
    <w:multiLevelType w:val="hybridMultilevel"/>
    <w:tmpl w:val="B37E94F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1"/>
  </w:num>
  <w:num w:numId="3">
    <w:abstractNumId w:val="38"/>
  </w:num>
  <w:num w:numId="4">
    <w:abstractNumId w:val="32"/>
  </w:num>
  <w:num w:numId="5">
    <w:abstractNumId w:val="25"/>
  </w:num>
  <w:num w:numId="6">
    <w:abstractNumId w:val="10"/>
  </w:num>
  <w:num w:numId="7">
    <w:abstractNumId w:val="19"/>
  </w:num>
  <w:num w:numId="8">
    <w:abstractNumId w:val="28"/>
  </w:num>
  <w:num w:numId="9">
    <w:abstractNumId w:val="23"/>
  </w:num>
  <w:num w:numId="10">
    <w:abstractNumId w:val="11"/>
  </w:num>
  <w:num w:numId="11">
    <w:abstractNumId w:val="9"/>
  </w:num>
  <w:num w:numId="12">
    <w:abstractNumId w:val="35"/>
  </w:num>
  <w:num w:numId="13">
    <w:abstractNumId w:val="3"/>
  </w:num>
  <w:num w:numId="14">
    <w:abstractNumId w:val="26"/>
  </w:num>
  <w:num w:numId="15">
    <w:abstractNumId w:val="39"/>
  </w:num>
  <w:num w:numId="16">
    <w:abstractNumId w:val="12"/>
  </w:num>
  <w:num w:numId="17">
    <w:abstractNumId w:val="40"/>
  </w:num>
  <w:num w:numId="18">
    <w:abstractNumId w:val="0"/>
  </w:num>
  <w:num w:numId="19">
    <w:abstractNumId w:val="30"/>
  </w:num>
  <w:num w:numId="20">
    <w:abstractNumId w:val="16"/>
  </w:num>
  <w:num w:numId="21">
    <w:abstractNumId w:val="41"/>
  </w:num>
  <w:num w:numId="22">
    <w:abstractNumId w:val="29"/>
  </w:num>
  <w:num w:numId="23">
    <w:abstractNumId w:val="36"/>
  </w:num>
  <w:num w:numId="24">
    <w:abstractNumId w:val="22"/>
  </w:num>
  <w:num w:numId="25">
    <w:abstractNumId w:val="15"/>
  </w:num>
  <w:num w:numId="26">
    <w:abstractNumId w:val="6"/>
  </w:num>
  <w:num w:numId="27">
    <w:abstractNumId w:val="31"/>
  </w:num>
  <w:num w:numId="28">
    <w:abstractNumId w:val="2"/>
  </w:num>
  <w:num w:numId="29">
    <w:abstractNumId w:val="37"/>
  </w:num>
  <w:num w:numId="30">
    <w:abstractNumId w:val="27"/>
  </w:num>
  <w:num w:numId="31">
    <w:abstractNumId w:val="42"/>
  </w:num>
  <w:num w:numId="32">
    <w:abstractNumId w:val="1"/>
  </w:num>
  <w:num w:numId="33">
    <w:abstractNumId w:val="13"/>
  </w:num>
  <w:num w:numId="34">
    <w:abstractNumId w:val="18"/>
  </w:num>
  <w:num w:numId="35">
    <w:abstractNumId w:val="8"/>
  </w:num>
  <w:num w:numId="36">
    <w:abstractNumId w:val="14"/>
  </w:num>
  <w:num w:numId="37">
    <w:abstractNumId w:val="24"/>
  </w:num>
  <w:num w:numId="38">
    <w:abstractNumId w:val="4"/>
  </w:num>
  <w:num w:numId="39">
    <w:abstractNumId w:val="17"/>
  </w:num>
  <w:num w:numId="40">
    <w:abstractNumId w:val="5"/>
  </w:num>
  <w:num w:numId="41">
    <w:abstractNumId w:val="43"/>
  </w:num>
  <w:num w:numId="42">
    <w:abstractNumId w:val="34"/>
  </w:num>
  <w:num w:numId="43">
    <w:abstractNumId w:val="7"/>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numFmt w:val="decimal"/>
    <w:endnote w:id="0"/>
    <w:endnote w:id="1"/>
  </w:endnotePr>
  <w:compat/>
  <w:rsids>
    <w:rsidRoot w:val="00BC6F9D"/>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C10"/>
    <w:rsid w:val="00993ED8"/>
    <w:rsid w:val="009963B2"/>
    <w:rsid w:val="00997A2F"/>
    <w:rsid w:val="009A28DF"/>
    <w:rsid w:val="009A69A4"/>
    <w:rsid w:val="009A7A8D"/>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C3F1A"/>
    <w:rsid w:val="00BC6F9D"/>
    <w:rsid w:val="00BD5A65"/>
    <w:rsid w:val="00BF17EF"/>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564"/>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6F9D"/>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C6F9D"/>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BC6F9D"/>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BC6F9D"/>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BC6F9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C6F9D"/>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BC6F9D"/>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BC6F9D"/>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BC6F9D"/>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BC6F9D"/>
    <w:rPr>
      <w:color w:val="0066CC"/>
      <w:u w:val="single"/>
    </w:rPr>
  </w:style>
  <w:style w:type="character" w:customStyle="1" w:styleId="a3">
    <w:name w:val="Υποσημείωση_"/>
    <w:basedOn w:val="a0"/>
    <w:rsid w:val="00BC6F9D"/>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BC6F9D"/>
    <w:rPr>
      <w:u w:val="single"/>
    </w:rPr>
  </w:style>
  <w:style w:type="character" w:customStyle="1" w:styleId="20">
    <w:name w:val="Υποσημείωση (2)_"/>
    <w:basedOn w:val="a0"/>
    <w:rsid w:val="00BC6F9D"/>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BC6F9D"/>
    <w:rPr>
      <w:b/>
      <w:bCs/>
      <w:sz w:val="20"/>
      <w:szCs w:val="20"/>
    </w:rPr>
  </w:style>
  <w:style w:type="character" w:customStyle="1" w:styleId="21">
    <w:name w:val="Υποσημείωση (2)"/>
    <w:basedOn w:val="20"/>
    <w:rsid w:val="00BC6F9D"/>
  </w:style>
  <w:style w:type="character" w:customStyle="1" w:styleId="30">
    <w:name w:val="Υποσημείωση (3)_"/>
    <w:basedOn w:val="a0"/>
    <w:link w:val="31"/>
    <w:rsid w:val="00BC6F9D"/>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BC6F9D"/>
    <w:rPr>
      <w:b/>
      <w:bCs/>
      <w:i/>
      <w:iCs/>
    </w:rPr>
  </w:style>
  <w:style w:type="character" w:customStyle="1" w:styleId="4">
    <w:name w:val="Υποσημείωση (4)_"/>
    <w:basedOn w:val="a0"/>
    <w:link w:val="40"/>
    <w:rsid w:val="00BC6F9D"/>
    <w:rPr>
      <w:rFonts w:ascii="Calibri" w:eastAsia="Calibri" w:hAnsi="Calibri" w:cs="Calibri"/>
      <w:sz w:val="20"/>
      <w:szCs w:val="20"/>
      <w:shd w:val="clear" w:color="auto" w:fill="FFFFFF"/>
    </w:rPr>
  </w:style>
  <w:style w:type="character" w:customStyle="1" w:styleId="41">
    <w:name w:val="Υποσημείωση (4) + Πλάγια γραφή"/>
    <w:basedOn w:val="4"/>
    <w:rsid w:val="00BC6F9D"/>
    <w:rPr>
      <w:i/>
      <w:iCs/>
    </w:rPr>
  </w:style>
  <w:style w:type="character" w:customStyle="1" w:styleId="42">
    <w:name w:val="Υποσημείωση (4) + Χωρίς έντονη γραφή"/>
    <w:basedOn w:val="4"/>
    <w:rsid w:val="00BC6F9D"/>
    <w:rPr>
      <w:b/>
      <w:bCs/>
    </w:rPr>
  </w:style>
  <w:style w:type="character" w:customStyle="1" w:styleId="a5">
    <w:name w:val="Υποσημείωση + Έντονη γραφή"/>
    <w:basedOn w:val="a3"/>
    <w:rsid w:val="00BC6F9D"/>
    <w:rPr>
      <w:b/>
      <w:bCs/>
    </w:rPr>
  </w:style>
  <w:style w:type="character" w:customStyle="1" w:styleId="a6">
    <w:name w:val="Υποσημείωση + Πλάγια γραφή"/>
    <w:basedOn w:val="a3"/>
    <w:rsid w:val="00BC6F9D"/>
    <w:rPr>
      <w:i/>
      <w:iCs/>
    </w:rPr>
  </w:style>
  <w:style w:type="character" w:customStyle="1" w:styleId="6">
    <w:name w:val="Σώμα κειμένου (6)_"/>
    <w:basedOn w:val="a0"/>
    <w:rsid w:val="00BC6F9D"/>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BC6F9D"/>
    <w:rPr>
      <w:rFonts w:ascii="Arial" w:eastAsia="Arial" w:hAnsi="Arial" w:cs="Arial"/>
      <w:sz w:val="14"/>
      <w:szCs w:val="14"/>
      <w:shd w:val="clear" w:color="auto" w:fill="FFFFFF"/>
      <w:lang w:val="en-US"/>
    </w:rPr>
  </w:style>
  <w:style w:type="character" w:customStyle="1" w:styleId="565">
    <w:name w:val="Σώμα κειμένου (5) + 6;5 στ."/>
    <w:basedOn w:val="5"/>
    <w:rsid w:val="00BC6F9D"/>
    <w:rPr>
      <w:sz w:val="13"/>
      <w:szCs w:val="13"/>
    </w:rPr>
  </w:style>
  <w:style w:type="character" w:customStyle="1" w:styleId="555">
    <w:name w:val="Σώμα κειμένου (5) + 5;5 στ.;Μικρά κεφαλαία"/>
    <w:basedOn w:val="5"/>
    <w:rsid w:val="00BC6F9D"/>
    <w:rPr>
      <w:smallCaps/>
      <w:sz w:val="11"/>
      <w:szCs w:val="11"/>
    </w:rPr>
  </w:style>
  <w:style w:type="character" w:customStyle="1" w:styleId="a7">
    <w:name w:val="Κεφαλίδα ή υποσέλιδο_"/>
    <w:basedOn w:val="a0"/>
    <w:link w:val="a8"/>
    <w:rsid w:val="00BC6F9D"/>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BC6F9D"/>
    <w:rPr>
      <w:rFonts w:ascii="Calibri" w:eastAsia="Calibri" w:hAnsi="Calibri" w:cs="Calibri"/>
      <w:spacing w:val="0"/>
      <w:sz w:val="27"/>
      <w:szCs w:val="27"/>
    </w:rPr>
  </w:style>
  <w:style w:type="character" w:customStyle="1" w:styleId="Calibri95">
    <w:name w:val="Κεφαλίδα ή υποσέλιδο + Calibri;9;5 στ."/>
    <w:basedOn w:val="a7"/>
    <w:rsid w:val="00BC6F9D"/>
    <w:rPr>
      <w:rFonts w:ascii="Calibri" w:eastAsia="Calibri" w:hAnsi="Calibri" w:cs="Calibri"/>
      <w:spacing w:val="0"/>
      <w:sz w:val="19"/>
      <w:szCs w:val="19"/>
    </w:rPr>
  </w:style>
  <w:style w:type="character" w:customStyle="1" w:styleId="51">
    <w:name w:val="Σώμα κειμένου (5) + Διάστιχο 1 στ."/>
    <w:basedOn w:val="5"/>
    <w:rsid w:val="00BC6F9D"/>
    <w:rPr>
      <w:spacing w:val="20"/>
    </w:rPr>
  </w:style>
  <w:style w:type="character" w:customStyle="1" w:styleId="7">
    <w:name w:val="Σώμα κειμένου (7)_"/>
    <w:basedOn w:val="a0"/>
    <w:rsid w:val="00BC6F9D"/>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BC6F9D"/>
  </w:style>
  <w:style w:type="character" w:customStyle="1" w:styleId="33">
    <w:name w:val="Σώμα κειμένου (3)_"/>
    <w:basedOn w:val="a0"/>
    <w:link w:val="34"/>
    <w:rsid w:val="00BC6F9D"/>
    <w:rPr>
      <w:rFonts w:ascii="Calibri" w:eastAsia="Calibri" w:hAnsi="Calibri" w:cs="Calibri"/>
      <w:sz w:val="124"/>
      <w:szCs w:val="124"/>
      <w:shd w:val="clear" w:color="auto" w:fill="FFFFFF"/>
    </w:rPr>
  </w:style>
  <w:style w:type="character" w:customStyle="1" w:styleId="22">
    <w:name w:val="Σώμα κειμένου (2)_"/>
    <w:basedOn w:val="a0"/>
    <w:rsid w:val="00BC6F9D"/>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BC6F9D"/>
  </w:style>
  <w:style w:type="character" w:customStyle="1" w:styleId="43">
    <w:name w:val="Σώμα κειμένου (4)_"/>
    <w:basedOn w:val="a0"/>
    <w:rsid w:val="00BC6F9D"/>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BC6F9D"/>
  </w:style>
  <w:style w:type="character" w:customStyle="1" w:styleId="411">
    <w:name w:val="Σώμα κειμένου (4) + 11 στ.;Χωρίς πλάγια γραφή"/>
    <w:basedOn w:val="43"/>
    <w:rsid w:val="00BC6F9D"/>
    <w:rPr>
      <w:i/>
      <w:iCs/>
      <w:sz w:val="22"/>
      <w:szCs w:val="22"/>
    </w:rPr>
  </w:style>
  <w:style w:type="character" w:customStyle="1" w:styleId="a9">
    <w:name w:val="Σώμα κειμένου_"/>
    <w:basedOn w:val="a0"/>
    <w:link w:val="49"/>
    <w:rsid w:val="00BC6F9D"/>
    <w:rPr>
      <w:rFonts w:ascii="Calibri" w:eastAsia="Calibri" w:hAnsi="Calibri" w:cs="Calibri"/>
      <w:sz w:val="20"/>
      <w:szCs w:val="20"/>
      <w:shd w:val="clear" w:color="auto" w:fill="FFFFFF"/>
    </w:rPr>
  </w:style>
  <w:style w:type="character" w:customStyle="1" w:styleId="10">
    <w:name w:val="Σώμα κειμένου1"/>
    <w:basedOn w:val="a9"/>
    <w:rsid w:val="00BC6F9D"/>
  </w:style>
  <w:style w:type="character" w:customStyle="1" w:styleId="24">
    <w:name w:val="Σώμα κειμένου2"/>
    <w:basedOn w:val="a9"/>
    <w:rsid w:val="00BC6F9D"/>
    <w:rPr>
      <w:lang w:val="en-US"/>
    </w:rPr>
  </w:style>
  <w:style w:type="character" w:customStyle="1" w:styleId="11">
    <w:name w:val="Επικεφαλίδα #1_"/>
    <w:basedOn w:val="a0"/>
    <w:rsid w:val="00BC6F9D"/>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BC6F9D"/>
  </w:style>
  <w:style w:type="character" w:customStyle="1" w:styleId="220">
    <w:name w:val="Επικεφαλίδα #2 (2)_"/>
    <w:basedOn w:val="a0"/>
    <w:rsid w:val="00BC6F9D"/>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BC6F9D"/>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BC6F9D"/>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BC6F9D"/>
  </w:style>
  <w:style w:type="character" w:customStyle="1" w:styleId="Calibri105">
    <w:name w:val="Κεφαλίδα ή υποσέλιδο + Calibri;10;5 στ.;Πλάγια γραφή"/>
    <w:basedOn w:val="a7"/>
    <w:rsid w:val="00BC6F9D"/>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BC6F9D"/>
    <w:rPr>
      <w:rFonts w:ascii="Calibri" w:eastAsia="Calibri" w:hAnsi="Calibri" w:cs="Calibri"/>
      <w:spacing w:val="-30"/>
      <w:sz w:val="55"/>
      <w:szCs w:val="55"/>
    </w:rPr>
  </w:style>
  <w:style w:type="character" w:customStyle="1" w:styleId="Calibri75">
    <w:name w:val="Κεφαλίδα ή υποσέλιδο + Calibri;7;5 στ."/>
    <w:basedOn w:val="a7"/>
    <w:rsid w:val="00BC6F9D"/>
    <w:rPr>
      <w:rFonts w:ascii="Calibri" w:eastAsia="Calibri" w:hAnsi="Calibri" w:cs="Calibri"/>
      <w:spacing w:val="0"/>
      <w:sz w:val="15"/>
      <w:szCs w:val="15"/>
    </w:rPr>
  </w:style>
  <w:style w:type="character" w:customStyle="1" w:styleId="100">
    <w:name w:val="Επικεφαλίδα #1 + Διάστιχο 0 στ."/>
    <w:basedOn w:val="11"/>
    <w:rsid w:val="00BC6F9D"/>
    <w:rPr>
      <w:spacing w:val="0"/>
    </w:rPr>
  </w:style>
  <w:style w:type="character" w:customStyle="1" w:styleId="25">
    <w:name w:val="Λεζάντα πίνακα (2)_"/>
    <w:basedOn w:val="a0"/>
    <w:rsid w:val="00BC6F9D"/>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BC6F9D"/>
    <w:rPr>
      <w:u w:val="single"/>
    </w:rPr>
  </w:style>
  <w:style w:type="character" w:customStyle="1" w:styleId="221">
    <w:name w:val="Επικεφαλίδα #2 (2)"/>
    <w:basedOn w:val="220"/>
    <w:rsid w:val="00BC6F9D"/>
    <w:rPr>
      <w:u w:val="single"/>
    </w:rPr>
  </w:style>
  <w:style w:type="character" w:customStyle="1" w:styleId="35">
    <w:name w:val="Λεζάντα πίνακα (3)_"/>
    <w:basedOn w:val="a0"/>
    <w:link w:val="36"/>
    <w:rsid w:val="00BC6F9D"/>
    <w:rPr>
      <w:rFonts w:ascii="Calibri" w:eastAsia="Calibri" w:hAnsi="Calibri" w:cs="Calibri"/>
      <w:sz w:val="21"/>
      <w:szCs w:val="21"/>
      <w:shd w:val="clear" w:color="auto" w:fill="FFFFFF"/>
    </w:rPr>
  </w:style>
  <w:style w:type="character" w:customStyle="1" w:styleId="101">
    <w:name w:val="Σώμα κειμένου (10)_"/>
    <w:basedOn w:val="a0"/>
    <w:rsid w:val="00BC6F9D"/>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BC6F9D"/>
  </w:style>
  <w:style w:type="character" w:customStyle="1" w:styleId="45">
    <w:name w:val="Σώμα κειμένου4"/>
    <w:basedOn w:val="a9"/>
    <w:rsid w:val="00BC6F9D"/>
    <w:rPr>
      <w:lang w:val="en-US"/>
    </w:rPr>
  </w:style>
  <w:style w:type="character" w:customStyle="1" w:styleId="aa">
    <w:name w:val="Λεζάντα πίνακα_"/>
    <w:basedOn w:val="a0"/>
    <w:link w:val="ab"/>
    <w:rsid w:val="00BC6F9D"/>
    <w:rPr>
      <w:rFonts w:ascii="Calibri" w:eastAsia="Calibri" w:hAnsi="Calibri" w:cs="Calibri"/>
      <w:sz w:val="20"/>
      <w:szCs w:val="20"/>
      <w:shd w:val="clear" w:color="auto" w:fill="FFFFFF"/>
    </w:rPr>
  </w:style>
  <w:style w:type="character" w:customStyle="1" w:styleId="27">
    <w:name w:val="Επικεφαλίδα #2_"/>
    <w:basedOn w:val="a0"/>
    <w:rsid w:val="00BC6F9D"/>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BC6F9D"/>
    <w:rPr>
      <w:b/>
      <w:bCs/>
      <w:i/>
      <w:iCs/>
      <w:sz w:val="20"/>
      <w:szCs w:val="20"/>
    </w:rPr>
  </w:style>
  <w:style w:type="character" w:customStyle="1" w:styleId="230">
    <w:name w:val="Επικεφαλίδα #2 (3)_"/>
    <w:basedOn w:val="a0"/>
    <w:link w:val="231"/>
    <w:rsid w:val="00BC6F9D"/>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BC6F9D"/>
    <w:rPr>
      <w:b/>
      <w:bCs/>
      <w:i/>
      <w:iCs/>
      <w:sz w:val="21"/>
      <w:szCs w:val="21"/>
    </w:rPr>
  </w:style>
  <w:style w:type="character" w:customStyle="1" w:styleId="110">
    <w:name w:val="Σώμα κειμένου (11)_"/>
    <w:basedOn w:val="a0"/>
    <w:rsid w:val="00BC6F9D"/>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BC6F9D"/>
  </w:style>
  <w:style w:type="character" w:customStyle="1" w:styleId="11100">
    <w:name w:val="Σώμα κειμένου (11) + 10 στ.;Πλάγια γραφή;Διάστιχο 0 στ."/>
    <w:basedOn w:val="110"/>
    <w:rsid w:val="00BC6F9D"/>
    <w:rPr>
      <w:i/>
      <w:iCs/>
      <w:spacing w:val="0"/>
      <w:sz w:val="20"/>
      <w:szCs w:val="20"/>
    </w:rPr>
  </w:style>
  <w:style w:type="character" w:customStyle="1" w:styleId="111000">
    <w:name w:val="Σώμα κειμένου (11) + 10 στ.;Διάστιχο 0 στ."/>
    <w:basedOn w:val="110"/>
    <w:rsid w:val="00BC6F9D"/>
    <w:rPr>
      <w:spacing w:val="0"/>
      <w:sz w:val="20"/>
      <w:szCs w:val="20"/>
    </w:rPr>
  </w:style>
  <w:style w:type="character" w:customStyle="1" w:styleId="6105">
    <w:name w:val="Σώμα κειμένου (6) + 10;5 στ.;Έντονη γραφή;Χωρίς πλάγια γραφή"/>
    <w:basedOn w:val="6"/>
    <w:rsid w:val="00BC6F9D"/>
    <w:rPr>
      <w:b/>
      <w:bCs/>
      <w:i/>
      <w:iCs/>
      <w:sz w:val="21"/>
      <w:szCs w:val="21"/>
    </w:rPr>
  </w:style>
  <w:style w:type="character" w:customStyle="1" w:styleId="52">
    <w:name w:val="Σώμα κειμένου5"/>
    <w:basedOn w:val="a9"/>
    <w:rsid w:val="00BC6F9D"/>
  </w:style>
  <w:style w:type="character" w:customStyle="1" w:styleId="105">
    <w:name w:val="Σώμα κειμένου + 10;5 στ.;Έντονη γραφή"/>
    <w:basedOn w:val="a9"/>
    <w:rsid w:val="00BC6F9D"/>
    <w:rPr>
      <w:b/>
      <w:bCs/>
      <w:sz w:val="21"/>
      <w:szCs w:val="21"/>
    </w:rPr>
  </w:style>
  <w:style w:type="character" w:customStyle="1" w:styleId="60">
    <w:name w:val="Σώμα κειμένου (6) + Χωρίς πλάγια γραφή"/>
    <w:basedOn w:val="6"/>
    <w:rsid w:val="00BC6F9D"/>
    <w:rPr>
      <w:i/>
      <w:iCs/>
    </w:rPr>
  </w:style>
  <w:style w:type="character" w:customStyle="1" w:styleId="61">
    <w:name w:val="Σώμα κειμένου (6)"/>
    <w:basedOn w:val="6"/>
    <w:rsid w:val="00BC6F9D"/>
  </w:style>
  <w:style w:type="character" w:customStyle="1" w:styleId="ac">
    <w:name w:val="Σώμα κειμένου + Πλάγια γραφή"/>
    <w:basedOn w:val="a9"/>
    <w:rsid w:val="00BC6F9D"/>
    <w:rPr>
      <w:i/>
      <w:iCs/>
    </w:rPr>
  </w:style>
  <w:style w:type="character" w:customStyle="1" w:styleId="62">
    <w:name w:val="Σώμα κειμένου6"/>
    <w:basedOn w:val="a9"/>
    <w:rsid w:val="00BC6F9D"/>
    <w:rPr>
      <w:u w:val="single"/>
    </w:rPr>
  </w:style>
  <w:style w:type="character" w:customStyle="1" w:styleId="1010">
    <w:name w:val="Σώμα κειμένου (10) + 10 στ.;Χωρίς έντονη γραφή;Πλάγια γραφή"/>
    <w:basedOn w:val="101"/>
    <w:rsid w:val="00BC6F9D"/>
    <w:rPr>
      <w:b/>
      <w:bCs/>
      <w:i/>
      <w:iCs/>
      <w:sz w:val="20"/>
      <w:szCs w:val="20"/>
    </w:rPr>
  </w:style>
  <w:style w:type="character" w:customStyle="1" w:styleId="71">
    <w:name w:val="Σώμα κειμένου7"/>
    <w:basedOn w:val="a9"/>
    <w:rsid w:val="00BC6F9D"/>
  </w:style>
  <w:style w:type="character" w:customStyle="1" w:styleId="10100">
    <w:name w:val="Σώμα κειμένου (10) + 10 στ.;Πλάγια γραφή"/>
    <w:basedOn w:val="101"/>
    <w:rsid w:val="00BC6F9D"/>
    <w:rPr>
      <w:i/>
      <w:iCs/>
      <w:sz w:val="20"/>
      <w:szCs w:val="20"/>
    </w:rPr>
  </w:style>
  <w:style w:type="character" w:customStyle="1" w:styleId="102">
    <w:name w:val="Σώμα κειμένου (10)"/>
    <w:basedOn w:val="101"/>
    <w:rsid w:val="00BC6F9D"/>
  </w:style>
  <w:style w:type="character" w:customStyle="1" w:styleId="81">
    <w:name w:val="Σώμα κειμένου8"/>
    <w:basedOn w:val="a9"/>
    <w:rsid w:val="00BC6F9D"/>
  </w:style>
  <w:style w:type="character" w:customStyle="1" w:styleId="92">
    <w:name w:val="Σώμα κειμένου9"/>
    <w:basedOn w:val="a9"/>
    <w:rsid w:val="00BC6F9D"/>
    <w:rPr>
      <w:u w:val="single"/>
    </w:rPr>
  </w:style>
  <w:style w:type="character" w:customStyle="1" w:styleId="28">
    <w:name w:val="Επικεφαλίδα #2"/>
    <w:basedOn w:val="27"/>
    <w:rsid w:val="00BC6F9D"/>
  </w:style>
  <w:style w:type="character" w:customStyle="1" w:styleId="103">
    <w:name w:val="Σώμα κειμένου10"/>
    <w:basedOn w:val="a9"/>
    <w:rsid w:val="00BC6F9D"/>
  </w:style>
  <w:style w:type="character" w:customStyle="1" w:styleId="2101">
    <w:name w:val="Επικεφαλίδα #2 + 10 στ.;Πλάγια γραφή"/>
    <w:basedOn w:val="27"/>
    <w:rsid w:val="00BC6F9D"/>
    <w:rPr>
      <w:i/>
      <w:iCs/>
      <w:sz w:val="20"/>
      <w:szCs w:val="20"/>
    </w:rPr>
  </w:style>
  <w:style w:type="character" w:customStyle="1" w:styleId="112">
    <w:name w:val="Σώμα κειμένου11"/>
    <w:basedOn w:val="a9"/>
    <w:rsid w:val="00BC6F9D"/>
    <w:rPr>
      <w:u w:val="single"/>
    </w:rPr>
  </w:style>
  <w:style w:type="character" w:customStyle="1" w:styleId="120">
    <w:name w:val="Σώμα κειμένου12"/>
    <w:basedOn w:val="a9"/>
    <w:rsid w:val="00BC6F9D"/>
  </w:style>
  <w:style w:type="character" w:customStyle="1" w:styleId="10101">
    <w:name w:val="Σώμα κειμένου (10) + 10 στ.;Χωρίς έντονη γραφή"/>
    <w:basedOn w:val="101"/>
    <w:rsid w:val="00BC6F9D"/>
    <w:rPr>
      <w:b/>
      <w:bCs/>
      <w:sz w:val="20"/>
      <w:szCs w:val="20"/>
    </w:rPr>
  </w:style>
  <w:style w:type="character" w:customStyle="1" w:styleId="2102">
    <w:name w:val="Επικεφαλίδα #2 + 10 στ.;Χωρίς έντονη γραφή"/>
    <w:basedOn w:val="27"/>
    <w:rsid w:val="00BC6F9D"/>
    <w:rPr>
      <w:b/>
      <w:bCs/>
      <w:sz w:val="20"/>
      <w:szCs w:val="20"/>
    </w:rPr>
  </w:style>
  <w:style w:type="character" w:customStyle="1" w:styleId="13">
    <w:name w:val="Σώμα κειμένου13"/>
    <w:basedOn w:val="a9"/>
    <w:rsid w:val="00BC6F9D"/>
    <w:rPr>
      <w:u w:val="single"/>
    </w:rPr>
  </w:style>
  <w:style w:type="character" w:customStyle="1" w:styleId="14">
    <w:name w:val="Σώμα κειμένου14"/>
    <w:basedOn w:val="a9"/>
    <w:rsid w:val="00BC6F9D"/>
    <w:rPr>
      <w:u w:val="single"/>
    </w:rPr>
  </w:style>
  <w:style w:type="character" w:customStyle="1" w:styleId="15">
    <w:name w:val="Σώμα κειμένου15"/>
    <w:basedOn w:val="a9"/>
    <w:rsid w:val="00BC6F9D"/>
    <w:rPr>
      <w:u w:val="single"/>
    </w:rPr>
  </w:style>
  <w:style w:type="character" w:customStyle="1" w:styleId="16">
    <w:name w:val="Σώμα κειμένου16"/>
    <w:basedOn w:val="a9"/>
    <w:rsid w:val="00BC6F9D"/>
  </w:style>
  <w:style w:type="character" w:customStyle="1" w:styleId="17">
    <w:name w:val="Σώμα κειμένου17"/>
    <w:basedOn w:val="a9"/>
    <w:rsid w:val="00BC6F9D"/>
  </w:style>
  <w:style w:type="character" w:customStyle="1" w:styleId="ad">
    <w:name w:val="Σώμα κειμένου + Έντονη γραφή;Πλάγια γραφή"/>
    <w:basedOn w:val="a9"/>
    <w:rsid w:val="00BC6F9D"/>
    <w:rPr>
      <w:b/>
      <w:bCs/>
      <w:i/>
      <w:iCs/>
    </w:rPr>
  </w:style>
  <w:style w:type="character" w:customStyle="1" w:styleId="121">
    <w:name w:val="Σώμα κειμένου (12)_"/>
    <w:basedOn w:val="a0"/>
    <w:rsid w:val="00BC6F9D"/>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BC6F9D"/>
    <w:rPr>
      <w:u w:val="single"/>
    </w:rPr>
  </w:style>
  <w:style w:type="character" w:customStyle="1" w:styleId="18">
    <w:name w:val="Σώμα κειμένου18"/>
    <w:basedOn w:val="a9"/>
    <w:rsid w:val="00BC6F9D"/>
    <w:rPr>
      <w:u w:val="single"/>
    </w:rPr>
  </w:style>
  <w:style w:type="character" w:customStyle="1" w:styleId="240">
    <w:name w:val="Επικεφαλίδα #2 (4)_"/>
    <w:basedOn w:val="a0"/>
    <w:link w:val="241"/>
    <w:rsid w:val="00BC6F9D"/>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BC6F9D"/>
    <w:rPr>
      <w:b/>
      <w:bCs/>
      <w:sz w:val="21"/>
      <w:szCs w:val="21"/>
    </w:rPr>
  </w:style>
  <w:style w:type="character" w:customStyle="1" w:styleId="19">
    <w:name w:val="Σώμα κειμένου19"/>
    <w:basedOn w:val="a9"/>
    <w:rsid w:val="00BC6F9D"/>
  </w:style>
  <w:style w:type="character" w:customStyle="1" w:styleId="200">
    <w:name w:val="Σώμα κειμένου20"/>
    <w:basedOn w:val="a9"/>
    <w:rsid w:val="00BC6F9D"/>
    <w:rPr>
      <w:u w:val="single"/>
    </w:rPr>
  </w:style>
  <w:style w:type="character" w:customStyle="1" w:styleId="211">
    <w:name w:val="Σώμα κειμένου21"/>
    <w:basedOn w:val="a9"/>
    <w:rsid w:val="00BC6F9D"/>
    <w:rPr>
      <w:u w:val="single"/>
    </w:rPr>
  </w:style>
  <w:style w:type="character" w:customStyle="1" w:styleId="222">
    <w:name w:val="Σώμα κειμένου22"/>
    <w:basedOn w:val="a9"/>
    <w:rsid w:val="00BC6F9D"/>
  </w:style>
  <w:style w:type="character" w:customStyle="1" w:styleId="232">
    <w:name w:val="Σώμα κειμένου23"/>
    <w:basedOn w:val="a9"/>
    <w:rsid w:val="00BC6F9D"/>
    <w:rPr>
      <w:u w:val="single"/>
    </w:rPr>
  </w:style>
  <w:style w:type="character" w:customStyle="1" w:styleId="242">
    <w:name w:val="Σώμα κειμένου24"/>
    <w:basedOn w:val="a9"/>
    <w:rsid w:val="00BC6F9D"/>
    <w:rPr>
      <w:u w:val="single"/>
    </w:rPr>
  </w:style>
  <w:style w:type="character" w:customStyle="1" w:styleId="250">
    <w:name w:val="Σώμα κειμένου25"/>
    <w:basedOn w:val="a9"/>
    <w:rsid w:val="00BC6F9D"/>
  </w:style>
  <w:style w:type="character" w:customStyle="1" w:styleId="260">
    <w:name w:val="Σώμα κειμένου26"/>
    <w:basedOn w:val="a9"/>
    <w:rsid w:val="00BC6F9D"/>
    <w:rPr>
      <w:u w:val="single"/>
    </w:rPr>
  </w:style>
  <w:style w:type="character" w:customStyle="1" w:styleId="270">
    <w:name w:val="Σώμα κειμένου27"/>
    <w:basedOn w:val="a9"/>
    <w:rsid w:val="00BC6F9D"/>
  </w:style>
  <w:style w:type="character" w:customStyle="1" w:styleId="280">
    <w:name w:val="Σώμα κειμένου28"/>
    <w:basedOn w:val="a9"/>
    <w:rsid w:val="00BC6F9D"/>
    <w:rPr>
      <w:u w:val="single"/>
    </w:rPr>
  </w:style>
  <w:style w:type="character" w:customStyle="1" w:styleId="29">
    <w:name w:val="Σώμα κειμένου29"/>
    <w:basedOn w:val="a9"/>
    <w:rsid w:val="00BC6F9D"/>
    <w:rPr>
      <w:u w:val="single"/>
    </w:rPr>
  </w:style>
  <w:style w:type="character" w:customStyle="1" w:styleId="300">
    <w:name w:val="Σώμα κειμένου30"/>
    <w:basedOn w:val="a9"/>
    <w:rsid w:val="00BC6F9D"/>
    <w:rPr>
      <w:u w:val="single"/>
    </w:rPr>
  </w:style>
  <w:style w:type="character" w:customStyle="1" w:styleId="310">
    <w:name w:val="Σώμα κειμένου31"/>
    <w:basedOn w:val="a9"/>
    <w:rsid w:val="00BC6F9D"/>
    <w:rPr>
      <w:u w:val="single"/>
    </w:rPr>
  </w:style>
  <w:style w:type="character" w:customStyle="1" w:styleId="320">
    <w:name w:val="Σώμα κειμένου32"/>
    <w:basedOn w:val="a9"/>
    <w:rsid w:val="00BC6F9D"/>
  </w:style>
  <w:style w:type="character" w:customStyle="1" w:styleId="330">
    <w:name w:val="Σώμα κειμένου33"/>
    <w:basedOn w:val="a9"/>
    <w:rsid w:val="00BC6F9D"/>
    <w:rPr>
      <w:u w:val="single"/>
    </w:rPr>
  </w:style>
  <w:style w:type="character" w:customStyle="1" w:styleId="340">
    <w:name w:val="Σώμα κειμένου34"/>
    <w:basedOn w:val="a9"/>
    <w:rsid w:val="00BC6F9D"/>
  </w:style>
  <w:style w:type="character" w:customStyle="1" w:styleId="350">
    <w:name w:val="Σώμα κειμένου35"/>
    <w:basedOn w:val="a9"/>
    <w:rsid w:val="00BC6F9D"/>
  </w:style>
  <w:style w:type="character" w:customStyle="1" w:styleId="360">
    <w:name w:val="Σώμα κειμένου36"/>
    <w:basedOn w:val="a9"/>
    <w:rsid w:val="00BC6F9D"/>
  </w:style>
  <w:style w:type="character" w:customStyle="1" w:styleId="370">
    <w:name w:val="Σώμα κειμένου37"/>
    <w:basedOn w:val="a9"/>
    <w:rsid w:val="00BC6F9D"/>
  </w:style>
  <w:style w:type="character" w:customStyle="1" w:styleId="38">
    <w:name w:val="Σώμα κειμένου38"/>
    <w:basedOn w:val="a9"/>
    <w:rsid w:val="00BC6F9D"/>
    <w:rPr>
      <w:u w:val="single"/>
    </w:rPr>
  </w:style>
  <w:style w:type="character" w:customStyle="1" w:styleId="39">
    <w:name w:val="Σώμα κειμένου39"/>
    <w:basedOn w:val="a9"/>
    <w:rsid w:val="00BC6F9D"/>
  </w:style>
  <w:style w:type="character" w:customStyle="1" w:styleId="400">
    <w:name w:val="Σώμα κειμένου40"/>
    <w:basedOn w:val="a9"/>
    <w:rsid w:val="00BC6F9D"/>
    <w:rPr>
      <w:u w:val="single"/>
    </w:rPr>
  </w:style>
  <w:style w:type="character" w:customStyle="1" w:styleId="410">
    <w:name w:val="Σώμα κειμένου41"/>
    <w:basedOn w:val="a9"/>
    <w:rsid w:val="00BC6F9D"/>
  </w:style>
  <w:style w:type="character" w:customStyle="1" w:styleId="420">
    <w:name w:val="Σώμα κειμένου42"/>
    <w:basedOn w:val="a9"/>
    <w:rsid w:val="00BC6F9D"/>
  </w:style>
  <w:style w:type="character" w:customStyle="1" w:styleId="130">
    <w:name w:val="Σώμα κειμένου (13)_"/>
    <w:basedOn w:val="a0"/>
    <w:rsid w:val="00BC6F9D"/>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BC6F9D"/>
  </w:style>
  <w:style w:type="character" w:customStyle="1" w:styleId="113">
    <w:name w:val="Σώμα κειμένου + 11 στ."/>
    <w:basedOn w:val="a9"/>
    <w:rsid w:val="00BC6F9D"/>
    <w:rPr>
      <w:sz w:val="22"/>
      <w:szCs w:val="22"/>
    </w:rPr>
  </w:style>
  <w:style w:type="character" w:customStyle="1" w:styleId="430">
    <w:name w:val="Σώμα κειμένου43"/>
    <w:basedOn w:val="a9"/>
    <w:rsid w:val="00BC6F9D"/>
  </w:style>
  <w:style w:type="character" w:customStyle="1" w:styleId="2115">
    <w:name w:val="Επικεφαλίδα #2 + 11;5 στ."/>
    <w:basedOn w:val="27"/>
    <w:rsid w:val="00BC6F9D"/>
    <w:rPr>
      <w:sz w:val="23"/>
      <w:szCs w:val="23"/>
      <w:u w:val="single"/>
    </w:rPr>
  </w:style>
  <w:style w:type="character" w:customStyle="1" w:styleId="115">
    <w:name w:val="Σώμα κειμένου + 11;5 στ.;Έντονη γραφή"/>
    <w:basedOn w:val="a9"/>
    <w:rsid w:val="00BC6F9D"/>
    <w:rPr>
      <w:b/>
      <w:bCs/>
      <w:sz w:val="23"/>
      <w:szCs w:val="23"/>
    </w:rPr>
  </w:style>
  <w:style w:type="character" w:customStyle="1" w:styleId="440">
    <w:name w:val="Σώμα κειμένου44"/>
    <w:basedOn w:val="a9"/>
    <w:rsid w:val="00BC6F9D"/>
  </w:style>
  <w:style w:type="character" w:customStyle="1" w:styleId="450">
    <w:name w:val="Σώμα κειμένου45"/>
    <w:basedOn w:val="a9"/>
    <w:rsid w:val="00BC6F9D"/>
    <w:rPr>
      <w:u w:val="single"/>
    </w:rPr>
  </w:style>
  <w:style w:type="character" w:customStyle="1" w:styleId="150">
    <w:name w:val="Σώμα κειμένου (15)_"/>
    <w:basedOn w:val="a0"/>
    <w:link w:val="151"/>
    <w:rsid w:val="00BC6F9D"/>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BC6F9D"/>
    <w:rPr>
      <w:smallCaps/>
      <w:sz w:val="8"/>
      <w:szCs w:val="8"/>
    </w:rPr>
  </w:style>
  <w:style w:type="character" w:customStyle="1" w:styleId="160">
    <w:name w:val="Σώμα κειμένου (16)_"/>
    <w:basedOn w:val="a0"/>
    <w:link w:val="161"/>
    <w:rsid w:val="00BC6F9D"/>
    <w:rPr>
      <w:rFonts w:ascii="Arial" w:eastAsia="Arial" w:hAnsi="Arial" w:cs="Arial"/>
      <w:sz w:val="8"/>
      <w:szCs w:val="8"/>
      <w:shd w:val="clear" w:color="auto" w:fill="FFFFFF"/>
    </w:rPr>
  </w:style>
  <w:style w:type="character" w:customStyle="1" w:styleId="140">
    <w:name w:val="Σώμα κειμένου (14)_"/>
    <w:basedOn w:val="a0"/>
    <w:link w:val="141"/>
    <w:rsid w:val="00BC6F9D"/>
    <w:rPr>
      <w:rFonts w:ascii="Calibri" w:eastAsia="Calibri" w:hAnsi="Calibri" w:cs="Calibri"/>
      <w:sz w:val="12"/>
      <w:szCs w:val="12"/>
      <w:shd w:val="clear" w:color="auto" w:fill="FFFFFF"/>
    </w:rPr>
  </w:style>
  <w:style w:type="character" w:customStyle="1" w:styleId="46">
    <w:name w:val="Σώμα κειμένου46"/>
    <w:basedOn w:val="a9"/>
    <w:rsid w:val="00BC6F9D"/>
    <w:rPr>
      <w:u w:val="single"/>
      <w:lang w:val="en-US"/>
    </w:rPr>
  </w:style>
  <w:style w:type="character" w:customStyle="1" w:styleId="47">
    <w:name w:val="Σώμα κειμένου47"/>
    <w:basedOn w:val="a9"/>
    <w:rsid w:val="00BC6F9D"/>
    <w:rPr>
      <w:u w:val="single"/>
      <w:lang w:val="en-US"/>
    </w:rPr>
  </w:style>
  <w:style w:type="character" w:customStyle="1" w:styleId="2a">
    <w:name w:val="Σώμα κειμένου + Διάστιχο 2 στ."/>
    <w:basedOn w:val="a9"/>
    <w:rsid w:val="00BC6F9D"/>
    <w:rPr>
      <w:spacing w:val="40"/>
    </w:rPr>
  </w:style>
  <w:style w:type="character" w:customStyle="1" w:styleId="12105">
    <w:name w:val="Σώμα κειμένου (12) + 10;5 στ.;Χωρίς πλάγια γραφή"/>
    <w:basedOn w:val="121"/>
    <w:rsid w:val="00BC6F9D"/>
    <w:rPr>
      <w:i/>
      <w:iCs/>
      <w:sz w:val="21"/>
      <w:szCs w:val="21"/>
    </w:rPr>
  </w:style>
  <w:style w:type="character" w:customStyle="1" w:styleId="63">
    <w:name w:val="Σώμα κειμένου (6) + Έντονη γραφή"/>
    <w:basedOn w:val="6"/>
    <w:rsid w:val="00BC6F9D"/>
    <w:rPr>
      <w:b/>
      <w:bCs/>
    </w:rPr>
  </w:style>
  <w:style w:type="character" w:customStyle="1" w:styleId="123">
    <w:name w:val="Σώμα κειμένου (12) + Χωρίς έντονη γραφή"/>
    <w:basedOn w:val="121"/>
    <w:rsid w:val="00BC6F9D"/>
    <w:rPr>
      <w:b/>
      <w:bCs/>
    </w:rPr>
  </w:style>
  <w:style w:type="character" w:customStyle="1" w:styleId="251">
    <w:name w:val="Επικεφαλίδα #2 (5)_"/>
    <w:basedOn w:val="a0"/>
    <w:link w:val="252"/>
    <w:rsid w:val="00BC6F9D"/>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BC6F9D"/>
    <w:rPr>
      <w:b/>
      <w:bCs/>
    </w:rPr>
  </w:style>
  <w:style w:type="character" w:customStyle="1" w:styleId="170">
    <w:name w:val="Σώμα κειμένου (17)_"/>
    <w:basedOn w:val="a0"/>
    <w:link w:val="171"/>
    <w:rsid w:val="00BC6F9D"/>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BC6F9D"/>
    <w:rPr>
      <w:b/>
      <w:bCs/>
      <w:i/>
      <w:iCs/>
      <w:lang w:val="en-US"/>
    </w:rPr>
  </w:style>
  <w:style w:type="character" w:customStyle="1" w:styleId="173">
    <w:name w:val="Σώμα κειμένου (17) + Χωρίς πλάγια γραφή"/>
    <w:basedOn w:val="170"/>
    <w:rsid w:val="00BC6F9D"/>
    <w:rPr>
      <w:i/>
      <w:iCs/>
    </w:rPr>
  </w:style>
  <w:style w:type="character" w:customStyle="1" w:styleId="48">
    <w:name w:val="Σώμα κειμένου48"/>
    <w:basedOn w:val="a9"/>
    <w:rsid w:val="00BC6F9D"/>
    <w:rPr>
      <w:u w:val="single"/>
    </w:rPr>
  </w:style>
  <w:style w:type="paragraph" w:customStyle="1" w:styleId="31">
    <w:name w:val="Υποσημείωση (3)"/>
    <w:basedOn w:val="a"/>
    <w:link w:val="30"/>
    <w:rsid w:val="00BC6F9D"/>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BC6F9D"/>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BC6F9D"/>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BC6F9D"/>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BC6F9D"/>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BC6F9D"/>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BC6F9D"/>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BC6F9D"/>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BC6F9D"/>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BC6F9D"/>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BC6F9D"/>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BC6F9D"/>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BC6F9D"/>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BC6F9D"/>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BC6F9D"/>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BC6F9D"/>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BC6F9D"/>
    <w:pPr>
      <w:tabs>
        <w:tab w:val="center" w:pos="4153"/>
        <w:tab w:val="right" w:pos="8306"/>
      </w:tabs>
    </w:pPr>
  </w:style>
  <w:style w:type="character" w:customStyle="1" w:styleId="Char">
    <w:name w:val="Κεφαλίδα Char"/>
    <w:basedOn w:val="a0"/>
    <w:link w:val="af"/>
    <w:rsid w:val="00BC6F9D"/>
    <w:rPr>
      <w:rFonts w:ascii="Tahoma" w:eastAsia="Tahoma" w:hAnsi="Tahoma" w:cs="Tahoma"/>
      <w:color w:val="000000"/>
      <w:sz w:val="24"/>
      <w:szCs w:val="24"/>
      <w:lang w:eastAsia="el-GR"/>
    </w:rPr>
  </w:style>
  <w:style w:type="paragraph" w:styleId="af0">
    <w:name w:val="footer"/>
    <w:basedOn w:val="a"/>
    <w:link w:val="Char0"/>
    <w:uiPriority w:val="99"/>
    <w:unhideWhenUsed/>
    <w:rsid w:val="00BC6F9D"/>
    <w:pPr>
      <w:tabs>
        <w:tab w:val="center" w:pos="4153"/>
        <w:tab w:val="right" w:pos="8306"/>
      </w:tabs>
    </w:pPr>
  </w:style>
  <w:style w:type="character" w:customStyle="1" w:styleId="Char0">
    <w:name w:val="Υποσέλιδο Char"/>
    <w:basedOn w:val="a0"/>
    <w:link w:val="af0"/>
    <w:uiPriority w:val="99"/>
    <w:rsid w:val="00BC6F9D"/>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BC6F9D"/>
    <w:rPr>
      <w:sz w:val="16"/>
      <w:szCs w:val="16"/>
    </w:rPr>
  </w:style>
  <w:style w:type="character" w:customStyle="1" w:styleId="Char1">
    <w:name w:val="Κείμενο πλαισίου Char"/>
    <w:basedOn w:val="a0"/>
    <w:link w:val="af1"/>
    <w:uiPriority w:val="99"/>
    <w:semiHidden/>
    <w:rsid w:val="00BC6F9D"/>
    <w:rPr>
      <w:rFonts w:ascii="Tahoma" w:eastAsia="Tahoma" w:hAnsi="Tahoma" w:cs="Tahoma"/>
      <w:color w:val="000000"/>
      <w:sz w:val="16"/>
      <w:szCs w:val="16"/>
      <w:lang w:eastAsia="el-GR"/>
    </w:rPr>
  </w:style>
  <w:style w:type="paragraph" w:styleId="af2">
    <w:name w:val="caption"/>
    <w:basedOn w:val="a"/>
    <w:next w:val="a"/>
    <w:uiPriority w:val="99"/>
    <w:qFormat/>
    <w:rsid w:val="00BC6F9D"/>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BC6F9D"/>
    <w:pPr>
      <w:ind w:left="720"/>
      <w:contextualSpacing/>
    </w:pPr>
  </w:style>
  <w:style w:type="character" w:customStyle="1" w:styleId="af4">
    <w:name w:val="Χαρακτήρες υποσημείωσης"/>
    <w:rsid w:val="00BC6F9D"/>
  </w:style>
  <w:style w:type="character" w:customStyle="1" w:styleId="af5">
    <w:name w:val="Σύμβολο υποσημείωσης"/>
    <w:rsid w:val="00BC6F9D"/>
    <w:rPr>
      <w:vertAlign w:val="superscript"/>
    </w:rPr>
  </w:style>
  <w:style w:type="character" w:customStyle="1" w:styleId="DeltaViewInsertion">
    <w:name w:val="DeltaView Insertion"/>
    <w:rsid w:val="00BC6F9D"/>
    <w:rPr>
      <w:b/>
      <w:i/>
      <w:spacing w:val="0"/>
      <w:lang w:val="el-GR"/>
    </w:rPr>
  </w:style>
  <w:style w:type="character" w:customStyle="1" w:styleId="NormalBoldChar">
    <w:name w:val="NormalBold Char"/>
    <w:rsid w:val="00BC6F9D"/>
    <w:rPr>
      <w:rFonts w:ascii="Times New Roman" w:eastAsia="Times New Roman" w:hAnsi="Times New Roman" w:cs="Times New Roman"/>
      <w:b/>
      <w:sz w:val="24"/>
      <w:lang w:val="el-GR"/>
    </w:rPr>
  </w:style>
  <w:style w:type="character" w:styleId="af6">
    <w:name w:val="endnote reference"/>
    <w:rsid w:val="00BC6F9D"/>
    <w:rPr>
      <w:vertAlign w:val="superscript"/>
    </w:rPr>
  </w:style>
  <w:style w:type="paragraph" w:customStyle="1" w:styleId="ChapterTitle">
    <w:name w:val="ChapterTitle"/>
    <w:basedOn w:val="a"/>
    <w:next w:val="a"/>
    <w:rsid w:val="00BC6F9D"/>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C6F9D"/>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BC6F9D"/>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BC6F9D"/>
    <w:rPr>
      <w:rFonts w:ascii="Calibri" w:eastAsia="Times New Roman" w:hAnsi="Calibri" w:cs="Times New Roman"/>
      <w:kern w:val="1"/>
      <w:sz w:val="20"/>
      <w:szCs w:val="20"/>
      <w:lang w:eastAsia="zh-CN"/>
    </w:rPr>
  </w:style>
  <w:style w:type="paragraph" w:styleId="af8">
    <w:name w:val="footnote text"/>
    <w:basedOn w:val="a"/>
    <w:link w:val="Char3"/>
    <w:unhideWhenUsed/>
    <w:rsid w:val="00BC6F9D"/>
    <w:rPr>
      <w:sz w:val="20"/>
      <w:szCs w:val="20"/>
    </w:rPr>
  </w:style>
  <w:style w:type="character" w:customStyle="1" w:styleId="Char3">
    <w:name w:val="Κείμενο υποσημείωσης Char"/>
    <w:basedOn w:val="a0"/>
    <w:link w:val="af8"/>
    <w:rsid w:val="00BC6F9D"/>
    <w:rPr>
      <w:rFonts w:ascii="Tahoma" w:eastAsia="Tahoma" w:hAnsi="Tahoma" w:cs="Tahoma"/>
      <w:color w:val="000000"/>
      <w:sz w:val="20"/>
      <w:szCs w:val="20"/>
      <w:lang w:eastAsia="el-GR"/>
    </w:rPr>
  </w:style>
  <w:style w:type="character" w:styleId="af9">
    <w:name w:val="footnote reference"/>
    <w:basedOn w:val="a0"/>
    <w:uiPriority w:val="99"/>
    <w:semiHidden/>
    <w:unhideWhenUsed/>
    <w:rsid w:val="00BC6F9D"/>
    <w:rPr>
      <w:vertAlign w:val="superscript"/>
    </w:rPr>
  </w:style>
  <w:style w:type="paragraph" w:customStyle="1" w:styleId="Standard">
    <w:name w:val="Standard"/>
    <w:rsid w:val="00BC6F9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BC6F9D"/>
    <w:rPr>
      <w:vertAlign w:val="superscript"/>
    </w:rPr>
  </w:style>
  <w:style w:type="character" w:customStyle="1" w:styleId="FootnoteReference2">
    <w:name w:val="Footnote Reference2"/>
    <w:rsid w:val="00BC6F9D"/>
    <w:rPr>
      <w:vertAlign w:val="superscript"/>
    </w:rPr>
  </w:style>
  <w:style w:type="paragraph" w:customStyle="1" w:styleId="foothanging">
    <w:name w:val="foot_hanging"/>
    <w:basedOn w:val="af8"/>
    <w:rsid w:val="00BC6F9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BC6F9D"/>
    <w:rPr>
      <w:rFonts w:ascii="Calibri" w:hAnsi="Calibri" w:cs="Calibri"/>
      <w:sz w:val="16"/>
      <w:szCs w:val="16"/>
      <w:lang w:val="en-GB" w:eastAsia="zh-CN"/>
    </w:rPr>
  </w:style>
  <w:style w:type="paragraph" w:styleId="2b">
    <w:name w:val="Body Text 2"/>
    <w:basedOn w:val="a"/>
    <w:link w:val="2Char0"/>
    <w:rsid w:val="00BC6F9D"/>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rsid w:val="00BC6F9D"/>
    <w:rPr>
      <w:rFonts w:ascii="Tahoma" w:eastAsia="Times New Roman" w:hAnsi="Tahoma" w:cs="Tahoma"/>
      <w:b/>
      <w:sz w:val="20"/>
      <w:szCs w:val="20"/>
      <w:lang w:eastAsia="el-GR"/>
    </w:rPr>
  </w:style>
  <w:style w:type="table" w:styleId="afa">
    <w:name w:val="Table Grid"/>
    <w:basedOn w:val="a1"/>
    <w:rsid w:val="00BC6F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BC6F9D"/>
    <w:rPr>
      <w:vertAlign w:val="superscript"/>
    </w:rPr>
  </w:style>
  <w:style w:type="character" w:customStyle="1" w:styleId="3a">
    <w:name w:val="Παραπομπή υποσημείωσης3"/>
    <w:rsid w:val="00BC6F9D"/>
    <w:rPr>
      <w:vertAlign w:val="superscript"/>
    </w:rPr>
  </w:style>
  <w:style w:type="character" w:customStyle="1" w:styleId="WW-FootnoteReference17">
    <w:name w:val="WW-Footnote Reference17"/>
    <w:rsid w:val="00BC6F9D"/>
    <w:rPr>
      <w:vertAlign w:val="superscript"/>
    </w:rPr>
  </w:style>
  <w:style w:type="character" w:customStyle="1" w:styleId="WW-FootnoteReference19">
    <w:name w:val="WW-Footnote Reference19"/>
    <w:rsid w:val="00BC6F9D"/>
    <w:rPr>
      <w:vertAlign w:val="superscript"/>
    </w:rPr>
  </w:style>
  <w:style w:type="character" w:customStyle="1" w:styleId="WW-EndnoteReference17">
    <w:name w:val="WW-Endnote Reference17"/>
    <w:rsid w:val="00BC6F9D"/>
    <w:rPr>
      <w:vertAlign w:val="superscript"/>
    </w:rPr>
  </w:style>
  <w:style w:type="paragraph" w:styleId="-HTML">
    <w:name w:val="HTML Preformatted"/>
    <w:basedOn w:val="a"/>
    <w:link w:val="-HTMLChar"/>
    <w:uiPriority w:val="99"/>
    <w:unhideWhenUsed/>
    <w:rsid w:val="00BC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BC6F9D"/>
    <w:rPr>
      <w:rFonts w:ascii="Courier New" w:eastAsia="Times New Roman" w:hAnsi="Courier New" w:cs="Courier New"/>
      <w:sz w:val="20"/>
      <w:szCs w:val="20"/>
      <w:lang w:eastAsia="el-GR"/>
    </w:rPr>
  </w:style>
  <w:style w:type="character" w:customStyle="1" w:styleId="WW-">
    <w:name w:val="WW-Χαρακτήρες υποσημείωσης"/>
    <w:rsid w:val="00BC6F9D"/>
  </w:style>
  <w:style w:type="paragraph" w:customStyle="1" w:styleId="afb">
    <w:name w:val="ΣτυλΔημοσιότητας"/>
    <w:basedOn w:val="1"/>
    <w:rsid w:val="00BC6F9D"/>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BC6F9D"/>
    <w:rPr>
      <w:vertAlign w:val="superscript"/>
    </w:rPr>
  </w:style>
  <w:style w:type="character" w:customStyle="1" w:styleId="1a">
    <w:name w:val="Παραπομπή σημείωσης τέλους1"/>
    <w:rsid w:val="00BC6F9D"/>
    <w:rPr>
      <w:vertAlign w:val="superscript"/>
    </w:rPr>
  </w:style>
  <w:style w:type="character" w:customStyle="1" w:styleId="233">
    <w:name w:val="Επικεφαλίδα #2 + Διάστιχο 3 στ."/>
    <w:basedOn w:val="27"/>
    <w:rsid w:val="00BC6F9D"/>
    <w:rPr>
      <w:rFonts w:ascii="Arial" w:eastAsia="Arial" w:hAnsi="Arial" w:cs="Arial"/>
      <w:spacing w:val="60"/>
      <w:sz w:val="23"/>
      <w:szCs w:val="23"/>
    </w:rPr>
  </w:style>
  <w:style w:type="paragraph" w:customStyle="1" w:styleId="afd">
    <w:name w:val="ΠΤΥΧΙΑΚΗ"/>
    <w:basedOn w:val="a"/>
    <w:rsid w:val="00BC6F9D"/>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BC6F9D"/>
    <w:rPr>
      <w:rFonts w:ascii="Tahoma" w:eastAsia="Tahoma" w:hAnsi="Tahoma" w:cs="Tahoma"/>
      <w:i/>
      <w:iCs/>
      <w:sz w:val="15"/>
      <w:szCs w:val="15"/>
    </w:rPr>
  </w:style>
  <w:style w:type="paragraph" w:customStyle="1" w:styleId="ecxmsonormal">
    <w:name w:val="ecxmsonormal"/>
    <w:basedOn w:val="a"/>
    <w:rsid w:val="00BC6F9D"/>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BC6F9D"/>
    <w:rPr>
      <w:sz w:val="16"/>
      <w:szCs w:val="16"/>
    </w:rPr>
  </w:style>
  <w:style w:type="character" w:customStyle="1" w:styleId="Char4">
    <w:name w:val="Χάρτης εγγράφου Char"/>
    <w:basedOn w:val="a0"/>
    <w:link w:val="afe"/>
    <w:uiPriority w:val="99"/>
    <w:semiHidden/>
    <w:rsid w:val="00BC6F9D"/>
    <w:rPr>
      <w:rFonts w:ascii="Tahoma" w:eastAsia="Tahoma" w:hAnsi="Tahoma" w:cs="Tahoma"/>
      <w:color w:val="000000"/>
      <w:sz w:val="16"/>
      <w:szCs w:val="16"/>
      <w:lang w:eastAsia="el-GR"/>
    </w:rPr>
  </w:style>
  <w:style w:type="character" w:styleId="aff">
    <w:name w:val="Strong"/>
    <w:qFormat/>
    <w:rsid w:val="00BC6F9D"/>
    <w:rPr>
      <w:b/>
      <w:bCs/>
    </w:rPr>
  </w:style>
  <w:style w:type="character" w:customStyle="1" w:styleId="WW-FootnoteReference12">
    <w:name w:val="WW-Footnote Reference12"/>
    <w:rsid w:val="00BC6F9D"/>
    <w:rPr>
      <w:vertAlign w:val="superscript"/>
    </w:rPr>
  </w:style>
  <w:style w:type="character" w:customStyle="1" w:styleId="WW-FootnoteReference16">
    <w:name w:val="WW-Footnote Reference16"/>
    <w:rsid w:val="00BC6F9D"/>
    <w:rPr>
      <w:vertAlign w:val="superscript"/>
    </w:rPr>
  </w:style>
  <w:style w:type="paragraph" w:styleId="1b">
    <w:name w:val="toc 1"/>
    <w:basedOn w:val="a"/>
    <w:next w:val="a"/>
    <w:autoRedefine/>
    <w:uiPriority w:val="39"/>
    <w:unhideWhenUsed/>
    <w:rsid w:val="00BC6F9D"/>
    <w:pPr>
      <w:tabs>
        <w:tab w:val="right" w:leader="dot" w:pos="9714"/>
      </w:tabs>
      <w:spacing w:after="100"/>
      <w:jc w:val="center"/>
    </w:pPr>
  </w:style>
  <w:style w:type="paragraph" w:styleId="2c">
    <w:name w:val="toc 2"/>
    <w:basedOn w:val="a"/>
    <w:next w:val="a"/>
    <w:autoRedefine/>
    <w:uiPriority w:val="39"/>
    <w:unhideWhenUsed/>
    <w:rsid w:val="00BC6F9D"/>
    <w:pPr>
      <w:spacing w:after="100"/>
      <w:ind w:left="240"/>
    </w:pPr>
  </w:style>
  <w:style w:type="paragraph" w:styleId="aff0">
    <w:name w:val="No Spacing"/>
    <w:uiPriority w:val="1"/>
    <w:qFormat/>
    <w:rsid w:val="00BC6F9D"/>
    <w:pPr>
      <w:spacing w:after="0" w:line="240" w:lineRule="auto"/>
    </w:pPr>
    <w:rPr>
      <w:rFonts w:ascii="Tahoma" w:eastAsia="Tahoma" w:hAnsi="Tahoma" w:cs="Tahoma"/>
      <w:color w:val="000000"/>
      <w:sz w:val="24"/>
      <w:szCs w:val="24"/>
      <w:lang w:eastAsia="el-GR"/>
    </w:rPr>
  </w:style>
  <w:style w:type="character" w:customStyle="1" w:styleId="normalwithoutspacingChar">
    <w:name w:val="normal_without_spacing Char"/>
    <w:rsid w:val="00BC6F9D"/>
    <w:rPr>
      <w:rFonts w:ascii="Calibri" w:hAnsi="Calibri" w:cs="Calibri"/>
      <w:sz w:val="22"/>
      <w:szCs w:val="24"/>
    </w:rPr>
  </w:style>
  <w:style w:type="character" w:customStyle="1" w:styleId="WW-FootnoteReference14">
    <w:name w:val="WW-Footnote Reference14"/>
    <w:rsid w:val="00BC6F9D"/>
    <w:rPr>
      <w:vertAlign w:val="superscript"/>
    </w:rPr>
  </w:style>
  <w:style w:type="paragraph" w:styleId="3b">
    <w:name w:val="toc 3"/>
    <w:basedOn w:val="a"/>
    <w:next w:val="a"/>
    <w:autoRedefine/>
    <w:uiPriority w:val="39"/>
    <w:unhideWhenUsed/>
    <w:rsid w:val="00BC6F9D"/>
    <w:pPr>
      <w:spacing w:after="100"/>
      <w:ind w:left="480"/>
    </w:pPr>
  </w:style>
  <w:style w:type="paragraph" w:customStyle="1" w:styleId="aff1">
    <w:name w:val="Δ_Σ_ΣΩΜΑ"/>
    <w:basedOn w:val="a"/>
    <w:qFormat/>
    <w:rsid w:val="00BC6F9D"/>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 w:type="paragraph" w:styleId="aff2">
    <w:name w:val="Body Text"/>
    <w:basedOn w:val="a"/>
    <w:link w:val="Char5"/>
    <w:uiPriority w:val="99"/>
    <w:semiHidden/>
    <w:unhideWhenUsed/>
    <w:rsid w:val="00BC6F9D"/>
    <w:pPr>
      <w:spacing w:after="120"/>
    </w:pPr>
  </w:style>
  <w:style w:type="character" w:customStyle="1" w:styleId="Char5">
    <w:name w:val="Σώμα κειμένου Char"/>
    <w:basedOn w:val="a0"/>
    <w:link w:val="aff2"/>
    <w:uiPriority w:val="99"/>
    <w:semiHidden/>
    <w:rsid w:val="00BC6F9D"/>
    <w:rPr>
      <w:rFonts w:ascii="Tahoma" w:eastAsia="Tahoma" w:hAnsi="Tahoma" w:cs="Tahoma"/>
      <w:color w:val="000000"/>
      <w:sz w:val="24"/>
      <w:szCs w:val="24"/>
      <w:lang w:eastAsia="el-GR"/>
    </w:rPr>
  </w:style>
  <w:style w:type="character" w:customStyle="1" w:styleId="Bodytext">
    <w:name w:val="Body text_"/>
    <w:basedOn w:val="a0"/>
    <w:link w:val="Bodytext0"/>
    <w:rsid w:val="00BC6F9D"/>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BC6F9D"/>
    <w:pPr>
      <w:widowControl w:val="0"/>
      <w:shd w:val="clear" w:color="auto" w:fill="FFFFFF"/>
      <w:spacing w:after="300" w:line="0" w:lineRule="atLeast"/>
      <w:ind w:hanging="1060"/>
    </w:pPr>
    <w:rPr>
      <w:rFonts w:ascii="Arial Unicode MS" w:eastAsia="Arial Unicode MS" w:hAnsi="Arial Unicode MS" w:cs="Arial Unicode MS"/>
      <w:color w:val="auto"/>
      <w:sz w:val="23"/>
      <w:szCs w:val="23"/>
      <w:lang w:eastAsia="en-US"/>
    </w:rPr>
  </w:style>
  <w:style w:type="paragraph" w:styleId="3c">
    <w:name w:val="Body Text 3"/>
    <w:basedOn w:val="a"/>
    <w:link w:val="3Char0"/>
    <w:uiPriority w:val="99"/>
    <w:semiHidden/>
    <w:unhideWhenUsed/>
    <w:rsid w:val="00BC6F9D"/>
    <w:pPr>
      <w:spacing w:after="120"/>
    </w:pPr>
    <w:rPr>
      <w:sz w:val="16"/>
      <w:szCs w:val="16"/>
    </w:rPr>
  </w:style>
  <w:style w:type="character" w:customStyle="1" w:styleId="3Char0">
    <w:name w:val="Σώμα κείμενου 3 Char"/>
    <w:basedOn w:val="a0"/>
    <w:link w:val="3c"/>
    <w:uiPriority w:val="99"/>
    <w:semiHidden/>
    <w:rsid w:val="00BC6F9D"/>
    <w:rPr>
      <w:rFonts w:ascii="Tahoma" w:eastAsia="Tahoma" w:hAnsi="Tahoma" w:cs="Tahoma"/>
      <w:color w:val="000000"/>
      <w:sz w:val="16"/>
      <w:szCs w:val="16"/>
      <w:lang w:eastAsia="el-GR"/>
    </w:rPr>
  </w:style>
  <w:style w:type="paragraph" w:customStyle="1" w:styleId="CharCharChar">
    <w:name w:val="Char Char Char"/>
    <w:basedOn w:val="a"/>
    <w:rsid w:val="00BC6F9D"/>
    <w:pPr>
      <w:spacing w:after="160" w:line="240" w:lineRule="exact"/>
    </w:pPr>
    <w:rPr>
      <w:rFonts w:ascii="Verdana" w:eastAsia="Times New Roman" w:hAnsi="Verdana" w:cs="Times New Roman"/>
      <w:color w:val="auto"/>
      <w:sz w:val="20"/>
      <w:szCs w:val="20"/>
      <w:lang w:val="en-US" w:eastAsia="en-US"/>
    </w:rPr>
  </w:style>
  <w:style w:type="character" w:customStyle="1" w:styleId="BodytextMicrosoftSansSerif75pt">
    <w:name w:val="Body text + Microsoft Sans Serif;7;5 pt"/>
    <w:basedOn w:val="Bodytext"/>
    <w:rsid w:val="00BC6F9D"/>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8085</Words>
  <Characters>43662</Characters>
  <Application>Microsoft Office Word</Application>
  <DocSecurity>0</DocSecurity>
  <Lines>363</Lines>
  <Paragraphs>103</Paragraphs>
  <ScaleCrop>false</ScaleCrop>
  <Company>Hewlett-Packard Company</Company>
  <LinksUpToDate>false</LinksUpToDate>
  <CharactersWithSpaces>51644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2020-03-17T11:51:00Z</dcterms:created>
  <dcterms:modified xsi:type="dcterms:W3CDTF">2020-03-17T11:52:00Z</dcterms:modified>
</cp:coreProperties>
</file>