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C74" w:rsidRPr="003E462C" w:rsidRDefault="00742C74" w:rsidP="00742C74">
      <w:pPr>
        <w:pStyle w:val="1"/>
        <w:spacing w:before="0"/>
      </w:pPr>
      <w:bookmarkStart w:id="0" w:name="_Toc46833957"/>
      <w:r w:rsidRPr="003E462C">
        <w:t>ΠΑΡΑΡΤΗΜΑ Γ΄</w:t>
      </w:r>
      <w:r>
        <w:t xml:space="preserve"> - </w:t>
      </w:r>
      <w:r w:rsidRPr="003E462C">
        <w:t>ΦΥΛΛΟ ΣΥΜΜΟΡΦΩΣΗΣ</w:t>
      </w:r>
      <w:bookmarkEnd w:id="0"/>
    </w:p>
    <w:p w:rsidR="00742C74" w:rsidRPr="003E462C" w:rsidRDefault="00742C74" w:rsidP="00742C74">
      <w:pPr>
        <w:spacing w:line="360" w:lineRule="auto"/>
        <w:rPr>
          <w:bCs/>
          <w:sz w:val="20"/>
          <w:szCs w:val="20"/>
        </w:rPr>
      </w:pPr>
    </w:p>
    <w:tbl>
      <w:tblPr>
        <w:tblW w:w="9513" w:type="dxa"/>
        <w:tblLook w:val="00A0"/>
      </w:tblPr>
      <w:tblGrid>
        <w:gridCol w:w="640"/>
        <w:gridCol w:w="4988"/>
        <w:gridCol w:w="1183"/>
        <w:gridCol w:w="1235"/>
        <w:gridCol w:w="1467"/>
      </w:tblGrid>
      <w:tr w:rsidR="00742C74" w:rsidRPr="003E462C" w:rsidTr="000F4400">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42C74" w:rsidRPr="003E462C" w:rsidRDefault="00742C74" w:rsidP="000F4400">
            <w:pPr>
              <w:spacing w:line="360" w:lineRule="auto"/>
              <w:jc w:val="center"/>
              <w:rPr>
                <w:b/>
                <w:bCs/>
                <w:sz w:val="20"/>
                <w:szCs w:val="20"/>
              </w:rPr>
            </w:pPr>
          </w:p>
          <w:p w:rsidR="00742C74" w:rsidRPr="003E462C" w:rsidRDefault="00742C74" w:rsidP="000F4400">
            <w:pPr>
              <w:spacing w:line="360" w:lineRule="auto"/>
              <w:jc w:val="center"/>
              <w:rPr>
                <w:b/>
                <w:bCs/>
                <w:sz w:val="20"/>
                <w:szCs w:val="20"/>
              </w:rPr>
            </w:pPr>
          </w:p>
          <w:p w:rsidR="00742C74" w:rsidRPr="003E462C" w:rsidRDefault="00742C74" w:rsidP="000F4400">
            <w:pPr>
              <w:spacing w:line="360" w:lineRule="auto"/>
              <w:jc w:val="center"/>
              <w:rPr>
                <w:b/>
                <w:bCs/>
                <w:sz w:val="20"/>
                <w:szCs w:val="20"/>
              </w:rPr>
            </w:pPr>
          </w:p>
          <w:p w:rsidR="00742C74" w:rsidRPr="003E462C" w:rsidRDefault="00742C74" w:rsidP="000F4400">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42C74" w:rsidRPr="003E462C" w:rsidRDefault="00742C74" w:rsidP="000F4400">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2C74" w:rsidRPr="003E462C" w:rsidRDefault="00742C74" w:rsidP="000F4400">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2C74" w:rsidRPr="003E462C" w:rsidRDefault="00742C74" w:rsidP="000F4400">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2C74" w:rsidRPr="003E462C" w:rsidRDefault="00742C74" w:rsidP="000F4400">
            <w:pPr>
              <w:spacing w:line="360" w:lineRule="auto"/>
              <w:jc w:val="center"/>
              <w:rPr>
                <w:b/>
                <w:bCs/>
                <w:sz w:val="20"/>
                <w:szCs w:val="20"/>
              </w:rPr>
            </w:pPr>
            <w:r w:rsidRPr="003E462C">
              <w:rPr>
                <w:bCs/>
                <w:sz w:val="20"/>
                <w:szCs w:val="20"/>
              </w:rPr>
              <w:t>ΠΑΡΑΠΟΜΠΗ</w:t>
            </w:r>
          </w:p>
        </w:tc>
      </w:tr>
      <w:tr w:rsidR="00742C74" w:rsidRPr="003E462C" w:rsidTr="000F440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42C74" w:rsidRPr="003E462C" w:rsidRDefault="00742C74" w:rsidP="000F4400">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r>
      <w:tr w:rsidR="00742C74" w:rsidRPr="003E462C" w:rsidTr="000F440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42C74" w:rsidRPr="003E462C" w:rsidRDefault="00742C74" w:rsidP="000F4400">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2C74" w:rsidRPr="003E462C" w:rsidRDefault="00742C74" w:rsidP="000F4400">
            <w:pPr>
              <w:spacing w:line="360" w:lineRule="auto"/>
              <w:rPr>
                <w:b/>
                <w:bCs/>
                <w:sz w:val="20"/>
                <w:szCs w:val="20"/>
              </w:rPr>
            </w:pPr>
          </w:p>
        </w:tc>
      </w:tr>
      <w:tr w:rsidR="00742C74" w:rsidRPr="003E462C" w:rsidTr="000F4400">
        <w:trPr>
          <w:trHeight w:val="657"/>
        </w:trPr>
        <w:tc>
          <w:tcPr>
            <w:tcW w:w="640" w:type="dxa"/>
            <w:tcBorders>
              <w:top w:val="nil"/>
              <w:left w:val="single" w:sz="4" w:space="0" w:color="auto"/>
              <w:bottom w:val="single" w:sz="4" w:space="0" w:color="auto"/>
              <w:right w:val="single" w:sz="4" w:space="0" w:color="auto"/>
            </w:tcBorders>
            <w:noWrap/>
          </w:tcPr>
          <w:p w:rsidR="00742C74" w:rsidRPr="003E462C" w:rsidRDefault="00742C74" w:rsidP="000F4400">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742C74" w:rsidRPr="003E462C" w:rsidRDefault="00742C74" w:rsidP="000F4400">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742C74" w:rsidRPr="003E462C" w:rsidRDefault="00742C74" w:rsidP="000F4400">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742C74" w:rsidRPr="003E462C" w:rsidRDefault="00742C74" w:rsidP="000F4400">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742C74" w:rsidRPr="003E462C" w:rsidRDefault="00742C74" w:rsidP="000F4400">
            <w:pPr>
              <w:spacing w:line="360" w:lineRule="auto"/>
              <w:rPr>
                <w:sz w:val="20"/>
                <w:szCs w:val="20"/>
              </w:rPr>
            </w:pPr>
            <w:r w:rsidRPr="003E462C">
              <w:rPr>
                <w:sz w:val="20"/>
                <w:szCs w:val="20"/>
              </w:rPr>
              <w:t> </w:t>
            </w:r>
          </w:p>
        </w:tc>
      </w:tr>
    </w:tbl>
    <w:p w:rsidR="00742C74" w:rsidRPr="003E462C" w:rsidRDefault="00742C74" w:rsidP="00742C74">
      <w:pPr>
        <w:spacing w:line="360" w:lineRule="auto"/>
        <w:rPr>
          <w:b/>
          <w:bCs/>
          <w:sz w:val="20"/>
          <w:szCs w:val="20"/>
        </w:rPr>
      </w:pPr>
    </w:p>
    <w:p w:rsidR="00742C74" w:rsidRPr="006D1245" w:rsidRDefault="00742C74" w:rsidP="00742C74">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742C74" w:rsidRPr="00432E90" w:rsidRDefault="00742C74" w:rsidP="00742C74">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742C74" w:rsidRPr="003E462C" w:rsidRDefault="00742C74" w:rsidP="00742C74">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42C74" w:rsidRPr="003E462C" w:rsidRDefault="00742C74" w:rsidP="00742C74">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42C74" w:rsidRPr="003E462C" w:rsidRDefault="00742C74" w:rsidP="00742C74">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42C74" w:rsidRPr="003E462C" w:rsidRDefault="00742C74" w:rsidP="00742C74">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w:t>
      </w:r>
      <w:r w:rsidRPr="003E462C">
        <w:rPr>
          <w:sz w:val="20"/>
          <w:szCs w:val="20"/>
        </w:rPr>
        <w:lastRenderedPageBreak/>
        <w:t xml:space="preserve">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42C74" w:rsidRPr="003E462C" w:rsidRDefault="00742C74" w:rsidP="00742C74">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742C74" w:rsidRPr="003E462C" w:rsidRDefault="00742C74" w:rsidP="00742C74">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742C74" w:rsidRPr="003E462C" w:rsidRDefault="00742C74" w:rsidP="00742C74">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742C74" w:rsidRPr="003E462C" w:rsidRDefault="00742C74" w:rsidP="00742C74">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42C74" w:rsidRDefault="00742C74" w:rsidP="00742C74">
      <w:pPr>
        <w:rPr>
          <w:rFonts w:asciiTheme="majorHAnsi" w:eastAsiaTheme="majorEastAsia" w:hAnsiTheme="majorHAnsi" w:cstheme="majorBidi"/>
          <w:b/>
          <w:bCs/>
          <w:sz w:val="28"/>
          <w:szCs w:val="28"/>
        </w:rPr>
      </w:pPr>
      <w:r>
        <w:br w:type="page"/>
      </w:r>
    </w:p>
    <w:p w:rsidR="00A704CB" w:rsidRDefault="00A704CB"/>
    <w:sectPr w:rsidR="00A704C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42C74"/>
    <w:rsid w:val="00742C74"/>
    <w:rsid w:val="00A704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742C74"/>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42C74"/>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473</Words>
  <Characters>2556</Characters>
  <Application>Microsoft Office Word</Application>
  <DocSecurity>0</DocSecurity>
  <Lines>21</Lines>
  <Paragraphs>6</Paragraphs>
  <ScaleCrop>false</ScaleCrop>
  <Company>Hewlett-Packard Company</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2020-07-28T10:34:00Z</dcterms:created>
  <dcterms:modified xsi:type="dcterms:W3CDTF">2020-07-28T10:34:00Z</dcterms:modified>
</cp:coreProperties>
</file>